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云南医药健康职业学院急症重症综合模拟病房实验室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采购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28"/>
          <w:szCs w:val="28"/>
          <w:lang w:val="zh-TW" w:eastAsia="zh-TW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竞争性谈判文件</w:t>
      </w:r>
    </w:p>
    <w:p>
      <w:pPr>
        <w:spacing w:line="460" w:lineRule="exact"/>
        <w:ind w:firstLine="420"/>
        <w:rPr>
          <w:rFonts w:ascii="宋体" w:hAnsi="宋体" w:eastAsia="宋体" w:cs="宋体"/>
          <w:color w:val="222222"/>
          <w:u w:color="222222"/>
          <w:shd w:val="clear" w:color="auto" w:fill="FFFFFF"/>
          <w:lang w:val="zh-TW" w:eastAsia="zh-TW"/>
        </w:rPr>
      </w:pPr>
      <w:r>
        <w:rPr>
          <w:rFonts w:ascii="宋体" w:hAnsi="宋体" w:eastAsia="宋体" w:cs="宋体"/>
          <w:color w:val="222222"/>
          <w:u w:color="222222"/>
          <w:shd w:val="clear" w:color="auto" w:fill="FFFFFF"/>
          <w:lang w:val="zh-TW" w:eastAsia="zh-TW"/>
        </w:rPr>
        <w:t>现就以下采购项目，本着公开、公平、公正和诚实信用的原则进行公开竞争性采购，诚邀符合条件的公司或供应商前来参与报价。</w:t>
      </w:r>
    </w:p>
    <w:p>
      <w:pPr>
        <w:numPr>
          <w:ilvl w:val="0"/>
          <w:numId w:val="1"/>
        </w:numPr>
        <w:spacing w:line="460" w:lineRule="exact"/>
        <w:rPr>
          <w:rFonts w:ascii="宋体" w:hAnsi="宋体" w:eastAsia="宋体" w:cs="宋体"/>
          <w:b/>
          <w:bCs/>
          <w:color w:val="222222"/>
          <w:u w:color="222222"/>
          <w:shd w:val="clear" w:color="auto" w:fill="FFFFFF"/>
          <w:lang w:val="zh-TW" w:eastAsia="zh-TW"/>
        </w:rPr>
      </w:pPr>
      <w:r>
        <w:rPr>
          <w:rFonts w:ascii="宋体" w:hAnsi="宋体" w:eastAsia="宋体" w:cs="宋体"/>
          <w:b/>
          <w:bCs/>
          <w:color w:val="222222"/>
          <w:u w:color="222222"/>
          <w:shd w:val="clear" w:color="auto" w:fill="FFFFFF"/>
          <w:lang w:val="zh-TW" w:eastAsia="zh-TW"/>
        </w:rPr>
        <w:t>邀请报价</w:t>
      </w:r>
    </w:p>
    <w:tbl>
      <w:tblPr>
        <w:tblStyle w:val="9"/>
        <w:tblW w:w="10440" w:type="dxa"/>
        <w:tblInd w:w="-5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260"/>
        <w:gridCol w:w="6015"/>
        <w:gridCol w:w="540"/>
        <w:gridCol w:w="570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设备名称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规格型号及技术参数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单位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数量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图例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（以实物为准）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智能急救综合女性模拟系统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产品功能概述：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高仿真智能女性模拟人，用于院前急救、危重症抢救及护理培训，支持BLS、ALS、ACLS等团队培训需求，提供全面的模拟体验。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一、基本组成及特性：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1.无线化全身模拟人：全无线设计，解剖结构精确，支持多种供电方式。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2.灵活关节与体位感知：支持多种关节运动及体位感应。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3.模块化设计：配备多种可更换伤情模块与操作模块。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二、功能模块：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1.气道管理：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逼真的上呼吸道解剖结构，支持多种气道工具操作。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可模拟常见及复杂气道情况，如困难气道和气道梗阻。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支持气道开放及侵入性气道操作的训练。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2.呼吸系统：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模拟自主及机械通气，具备真实胸部起伏。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呼吸音听诊、多种异常呼吸模拟。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支持气胸穿刺及胸腔引流等操作。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3.循环系统：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触诊多部位脉搏，脉搏强度可调。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心音听诊及心电监护功能。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口唇颜色变化模拟病理状态。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4.CPR与生命支持：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支持高仿真CPR操作及实时反馈，数据可记录与分析。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可用真实除颤设备，支持多参数监测。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5.神经系统：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瞳孔对光反射、眼部状态及抽搐模拟。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支持膝跳反射检查，无需额外辅助设备。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6.侵入性操作：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支持导尿、静脉穿刺、骨内穿刺、中心静脉输液等操作。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可模拟真实出血、分泌物流出及止血训练。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7.药理学功能：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内置药物反应模型，自动呈现剂量依赖及实时反应。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支持模拟给药及药效监测。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8.虚拟设备：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配备虚拟呼吸机，参数设置与真实设备一致。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三、关键特点：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1.操作智能化：系统能自动检测和记录操作过程。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2.真实响应：多感官反馈，覆盖听、触、视等维度。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3.高兼容性：支持标准医疗设备连接，适应多种教学场景。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4.模块化维护：损耗部件易于更换，延长使用寿命。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四、应用场景：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1.医学教育与急救技能培训。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2.医疗机构的团队演练与考核。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3.高危场景模拟与实践操作。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个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3143250</wp:posOffset>
                  </wp:positionV>
                  <wp:extent cx="731520" cy="410210"/>
                  <wp:effectExtent l="0" t="0" r="11430" b="8890"/>
                  <wp:wrapNone/>
                  <wp:docPr id="17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3"/>
                          <pic:cNvPicPr/>
                        </pic:nvPicPr>
                        <pic:blipFill>
                          <a:blip r:link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41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模拟除颤训练系统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产品功能概述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模拟除颤训练器用于提供高仿真、安全、可重复的训练场景，支持除颤、AED、无创起搏及监护操作，适合医学生、护生及初级医务人员的培训需求。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一、 硬件功能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1.模拟除颤仪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外观与真实设备相似，具备触控显示屏和简易模式切换旋钮，支持多种训练模式（监护、AED、手动除颤、起搏）。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配备高仿真电极片、电极板及相关附件，可检测放置正确性并提供震动或语音反馈。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支持多种连接方式及设备（如导联线、血氧探头、体温探头、CO2采样管等）。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双电源模式（交流电及内置可充电电池），支持长时间连续使用，便携易操作。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2.除颤背心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可穿戴式设计，适配真人或模拟人，便于除颤训练。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二、 模拟功能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1.训练模式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除颤功能：支持手动除颤能量选择和放电流程。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AED模式：完整的AED操作引导及语音提示，符合国际复苏指南流程。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无创起搏：支持起搏速率及电流调节，实时显示起搏波形。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监护功能：可模拟并显示心电图、血氧、血压等监护数据和波形。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三、 控制系统功能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提供可编辑的患者信息显示及多种训练病例库，覆盖成人和儿童场景，符合最新心肺复苏指南要求。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具备状态提示功能（如电量状态、报警提示）。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支持教师端操作，通过便捷连接实现远程控制和参数设定。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四、应用场景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用于医学生及医务工作者的基础和高级生命支持技能培训，涵盖除颤、AED操作、监护及无创起搏等关键内容。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个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981075</wp:posOffset>
                  </wp:positionV>
                  <wp:extent cx="648335" cy="466725"/>
                  <wp:effectExtent l="0" t="0" r="18415" b="9525"/>
                  <wp:wrapNone/>
                  <wp:docPr id="19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_5"/>
                          <pic:cNvPicPr/>
                        </pic:nvPicPr>
                        <pic:blipFill>
                          <a:blip r:link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1895475</wp:posOffset>
                  </wp:positionV>
                  <wp:extent cx="293370" cy="889635"/>
                  <wp:effectExtent l="0" t="0" r="11430" b="5715"/>
                  <wp:wrapNone/>
                  <wp:docPr id="13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6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" cy="88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呼吸机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1. 显示及通气模式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配备高清彩色显示屏，清晰呈现通气参数、波形及报警信息。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支持多种常用通气模式（如容量控制、压力控制、辅助通气、持续正压通气等），可适配不同患者需求。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2. 通气功能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提供关键通气设置功能，包括正压末期呼气（PEEP）、吸气平台调整、吸气流速调节及叹息功能。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支持灵活调整吸气和呼气时间比例、流量及触发灵敏度，适应不同病理生理状态。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可设定并调节氧浓度，覆盖低氧至高氧范围。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 通气监测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实时监测患者通气相关参数：潮气量、分钟通气量、通气频率、气道压力、氧浓度及吸呼比等。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提供多种波形和环图（如压力-时间、流速-时间、压力-容积环等）以支持临床分析。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 安全报警系统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配备完善的报警系统，覆盖氧浓度、气道压力、潮气量、通气频率等参数的上下限设置。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包括持续高压报警、窒息报警及其他关键安全提示，确保设备异常及时警示。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5. 其他功能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内置备用电池，可在断电情况下持续工作，确保设备稳定运行。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设计易于操作，适合多种临床使用场景，包括急诊、手术室及重症监护室。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个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1447800</wp:posOffset>
                  </wp:positionV>
                  <wp:extent cx="685800" cy="699135"/>
                  <wp:effectExtent l="0" t="0" r="0" b="5715"/>
                  <wp:wrapNone/>
                  <wp:docPr id="20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_7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9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注射泵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1. 认证与适配性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通过权威认证（CFDA、CE、ISO等），符合医疗设备标准。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兼容符合国家标准的多品牌、多规格注射器，并支持用户自定义适配。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2. 操作与注射功能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支持多种注射模式（如速度模式、时间模式、剂量模式），满足不同临床需求。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灵活调整注射速度，精确控制药物输注过程，支持在线滴定功能，允许在输注过程中调整参数。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配备显示界面，可实时查看剩余输液时间、药液量等信息。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 安全报警与智能功能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完善的报警系统，包括多级声光报警，覆盖多种异常情况（如阻塞、推空、电量低、电源中断等）。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具备阻塞回撤功能，避免因压力过高导致的药物过量输注风险。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 使用便捷性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配备立体报警灯设计，报警信息清晰可视。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可选择多种剂量和速度单位，支持不同体重和药物剂量的计算。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5. 电源与续航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支持外接电源和内置电池双供电模式，适应不同场景的输注需求。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个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323850</wp:posOffset>
                  </wp:positionV>
                  <wp:extent cx="714375" cy="269240"/>
                  <wp:effectExtent l="0" t="0" r="9525" b="16510"/>
                  <wp:wrapNone/>
                  <wp:docPr id="21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_8"/>
                          <pic:cNvPicPr/>
                        </pic:nvPicPr>
                        <pic:blipFill>
                          <a:blip r:link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营养泵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1. 认证与适配性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通过权威医疗设备认证（如CFDA、CE、ISO）。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兼容多种符合国家标准的输液器，支持品牌自定义适配。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2. 操作与输注功能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提供多种输液模式（如速度模式、时间模式、剂量模式、滴数模式）。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灵活设置输注速度、输液总量、输注时间等关键参数，实时显示输液状态。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支持多种计量单位选择，满足不同临床需求。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 安全与报警功能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声光报警系统覆盖多种异常（如阻塞、气泡、门开、电量低、系统故障等）。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支持阻塞回撤功能，降低压力过高导致的输注风险。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 智能与扩展功能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在线调整功能：输注过程中可实时调整速度等参数。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提供快速推注选项，支持自动和手动操作。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保持静脉通路功能可调或关闭，适应不同临床要求。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5. 电源与续航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支持多种供电模式（如电池和外接电源），满足持续输注需求。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个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866775</wp:posOffset>
                  </wp:positionV>
                  <wp:extent cx="752475" cy="756285"/>
                  <wp:effectExtent l="0" t="0" r="9525" b="5715"/>
                  <wp:wrapNone/>
                  <wp:docPr id="14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9"/>
                          <pic:cNvPicPr/>
                        </pic:nvPicPr>
                        <pic:blipFill>
                          <a:blip r:link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洗胃机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支持全自动洗胃方式，参数可调节。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个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219075</wp:posOffset>
                  </wp:positionV>
                  <wp:extent cx="592455" cy="362585"/>
                  <wp:effectExtent l="0" t="0" r="17145" b="18415"/>
                  <wp:wrapNone/>
                  <wp:docPr id="15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10"/>
                          <pic:cNvPicPr/>
                        </pic:nvPicPr>
                        <pic:blipFill>
                          <a:blip r:link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吸痰机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4"/>
                <w:rFonts w:hint="eastAsia" w:ascii="宋体" w:hAnsi="宋体" w:eastAsia="宋体" w:cs="宋体"/>
                <w:color w:val="000000"/>
                <w:sz w:val="18"/>
                <w:szCs w:val="18"/>
                <w:u w:color="000000"/>
                <w:lang w:val="en-US" w:eastAsia="zh-CN" w:bidi="ar"/>
              </w:rPr>
              <w:t>便携式设计方便移动，负压可无极调节，强劲吸力每分钟不低于12L，噪音小于75分贝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个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200025</wp:posOffset>
                  </wp:positionV>
                  <wp:extent cx="505460" cy="429895"/>
                  <wp:effectExtent l="0" t="0" r="8890" b="8255"/>
                  <wp:wrapNone/>
                  <wp:docPr id="16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11"/>
                          <pic:cNvPicPr/>
                        </pic:nvPicPr>
                        <pic:blipFill>
                          <a:blip r:link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46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B超机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1. 系统与操作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使用标准化操作系统。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配备高清彩色显示屏，屏幕尺寸满足清晰观察需求。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2. 探头支持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配备多种类型的超声探头（如凸阵、线阵），支持变频功能，适用于不同深度和场景的成像需求。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 成像与模式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提供二维成像、彩色多普勒成像和频谱多普勒模式，具有多种可调参数以优化图像质量（如增益、动态范围、伪彩、声功率等）。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支持多种体位标记和显示布局，适应不同临床操作需求。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 测量与分析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提供多种专业测量功能，包括距离、面积、角度、速度、加速度、血流参数等分析功能，适用于临床诊断和评估。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5. 数据管理与存储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内置图文管理系统，支持多种图片格式存储和快速报告生成。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具备病例信息管理功能，可通过编号、名称或日期进行快速检索和管理。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支持电影回放功能，记录诊断过程以便回顾和分析。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6. 扩展性与存储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内置大容量存储设备，支持快速启动和稳定运行。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附加要求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产品通过相关医疗器械认证（如CFDA、CE、ISO）。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提供相关图片或证书以支持技术功能说明。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个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1123315</wp:posOffset>
                  </wp:positionV>
                  <wp:extent cx="590550" cy="506095"/>
                  <wp:effectExtent l="0" t="0" r="0" b="8255"/>
                  <wp:wrapNone/>
                  <wp:docPr id="12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12"/>
                          <pic:cNvPicPr/>
                        </pic:nvPicPr>
                        <pic:blipFill>
                          <a:blip r:link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0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转运车（平车）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参考尺寸：规格1980*700*（630-930）mm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1. 结构与材质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车体采用高强度耐腐蚀材料制造，床面平整无卫生死角，便于清洁与维护。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床面为多段组合结构，支持调节，材质具有抗冲击和耐用特性。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2. 护栏设计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配备可折叠式护栏，采用工程塑料一体成型，具备流畅设计，提供患者保护并支持管路穿过的功能。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 调节功能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背板位置支持无极调节，操作简便，满足不同护理需求。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 脚轮与刹车系统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配备静音、防缠绕、耐磨的中控脚轮，具备一键中央刹车功能，确保稳定性和安全性。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5. 附加配件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配有可升降的多用途输液架，床头与床尾均设计有固定插槽，方便临床操作。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配套高舒适度床垫，床罩可拆卸清洗，易于维护。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6. 承重能力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具备高承重性能，满足不同体重患者的转运需求。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个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1133475</wp:posOffset>
                  </wp:positionV>
                  <wp:extent cx="676910" cy="497840"/>
                  <wp:effectExtent l="0" t="0" r="8890" b="16510"/>
                  <wp:wrapNone/>
                  <wp:docPr id="7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3"/>
                          <pic:cNvPicPr/>
                        </pic:nvPicPr>
                        <pic:blipFill>
                          <a:blip r:link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910" cy="49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ICU治疗车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参考尺寸：规格：630×470×920mm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1. 结构与材质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采用耐用材料（如高强度塑料和防锈金属）制造，具有稳定结构和防腐性能。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车体具备多层存储设计，配置污物桶及抽屉，满足不同医疗场景需求。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2. 台面设计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台面具有防滑功能，周围配备围栏以防止物品掉落，符合医护操作便利性。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 抽屉配置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配备模块化设计的抽屉，便于灵活存储和物品分类管理，推拉顺畅且静音。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 脚轮系统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配备静音耐磨脚轮，支持刹车功能，移动灵活且稳定性强。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个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504825</wp:posOffset>
                  </wp:positionV>
                  <wp:extent cx="694055" cy="581025"/>
                  <wp:effectExtent l="0" t="0" r="10795" b="9525"/>
                  <wp:wrapNone/>
                  <wp:docPr id="9" name="图片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14"/>
                          <pic:cNvPicPr/>
                        </pic:nvPicPr>
                        <pic:blipFill>
                          <a:blip r:link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05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抢救车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4"/>
                <w:rFonts w:hint="eastAsia" w:ascii="宋体" w:hAnsi="宋体" w:eastAsia="宋体" w:cs="宋体"/>
                <w:color w:val="000000"/>
                <w:sz w:val="18"/>
                <w:szCs w:val="18"/>
                <w:u w:color="000000"/>
                <w:lang w:val="en-US" w:eastAsia="zh-CN" w:bidi="ar"/>
              </w:rPr>
              <w:t>参考尺寸：790×480×930mm</w:t>
            </w:r>
            <w:r>
              <w:rPr>
                <w:rStyle w:val="24"/>
                <w:rFonts w:hint="eastAsia" w:ascii="宋体" w:hAnsi="宋体" w:eastAsia="宋体" w:cs="宋体"/>
                <w:color w:val="000000"/>
                <w:sz w:val="18"/>
                <w:szCs w:val="18"/>
                <w:u w:color="000000"/>
                <w:lang w:val="en-US" w:eastAsia="zh-CN" w:bidi="ar"/>
              </w:rPr>
              <w:br w:type="textWrapping"/>
            </w:r>
            <w:r>
              <w:rPr>
                <w:rStyle w:val="24"/>
                <w:rFonts w:hint="eastAsia" w:ascii="宋体" w:hAnsi="宋体" w:eastAsia="宋体" w:cs="宋体"/>
                <w:color w:val="000000"/>
                <w:sz w:val="18"/>
                <w:szCs w:val="18"/>
                <w:u w:color="000000"/>
                <w:lang w:val="en-US" w:eastAsia="zh-CN" w:bidi="ar"/>
              </w:rPr>
              <w:t>1. 结构与材质</w:t>
            </w:r>
            <w:r>
              <w:rPr>
                <w:rStyle w:val="24"/>
                <w:rFonts w:hint="eastAsia" w:ascii="宋体" w:hAnsi="宋体" w:eastAsia="宋体" w:cs="宋体"/>
                <w:color w:val="000000"/>
                <w:sz w:val="18"/>
                <w:szCs w:val="18"/>
                <w:u w:color="000000"/>
                <w:lang w:val="en-US" w:eastAsia="zh-CN" w:bidi="ar"/>
              </w:rPr>
              <w:br w:type="textWrapping"/>
            </w:r>
            <w:r>
              <w:rPr>
                <w:rStyle w:val="24"/>
                <w:rFonts w:hint="eastAsia" w:ascii="宋体" w:hAnsi="宋体" w:eastAsia="宋体" w:cs="宋体"/>
                <w:color w:val="000000"/>
                <w:sz w:val="18"/>
                <w:szCs w:val="18"/>
                <w:u w:color="000000"/>
                <w:lang w:val="en-US" w:eastAsia="zh-CN" w:bidi="ar"/>
              </w:rPr>
              <w:t>整体结构坚固，采用高强度材料（如ABS工程塑料和塑钢），满足耐用性和抗腐蚀要求。</w:t>
            </w:r>
            <w:r>
              <w:rPr>
                <w:rStyle w:val="24"/>
                <w:rFonts w:hint="eastAsia" w:ascii="宋体" w:hAnsi="宋体" w:eastAsia="宋体" w:cs="宋体"/>
                <w:color w:val="000000"/>
                <w:sz w:val="18"/>
                <w:szCs w:val="18"/>
                <w:u w:color="000000"/>
                <w:lang w:val="en-US" w:eastAsia="zh-CN" w:bidi="ar"/>
              </w:rPr>
              <w:br w:type="textWrapping"/>
            </w:r>
            <w:r>
              <w:rPr>
                <w:rStyle w:val="24"/>
                <w:rFonts w:hint="eastAsia" w:ascii="宋体" w:hAnsi="宋体" w:eastAsia="宋体" w:cs="宋体"/>
                <w:color w:val="000000"/>
                <w:sz w:val="18"/>
                <w:szCs w:val="18"/>
                <w:u w:color="000000"/>
                <w:lang w:val="en-US" w:eastAsia="zh-CN" w:bidi="ar"/>
              </w:rPr>
              <w:t>台面平整，设计有防滑功能，适合医疗操作。</w:t>
            </w:r>
            <w:r>
              <w:rPr>
                <w:rStyle w:val="24"/>
                <w:rFonts w:hint="eastAsia" w:ascii="宋体" w:hAnsi="宋体" w:eastAsia="宋体" w:cs="宋体"/>
                <w:color w:val="000000"/>
                <w:sz w:val="18"/>
                <w:szCs w:val="18"/>
                <w:u w:color="000000"/>
                <w:lang w:val="en-US" w:eastAsia="zh-CN" w:bidi="ar"/>
              </w:rPr>
              <w:br w:type="textWrapping"/>
            </w:r>
            <w:r>
              <w:rPr>
                <w:rStyle w:val="24"/>
                <w:rFonts w:hint="eastAsia" w:ascii="宋体" w:hAnsi="宋体" w:eastAsia="宋体" w:cs="宋体"/>
                <w:color w:val="000000"/>
                <w:sz w:val="18"/>
                <w:szCs w:val="18"/>
                <w:u w:color="000000"/>
                <w:lang w:val="en-US" w:eastAsia="zh-CN" w:bidi="ar"/>
              </w:rPr>
              <w:t>2. 存储功能</w:t>
            </w:r>
            <w:r>
              <w:rPr>
                <w:rStyle w:val="24"/>
                <w:rFonts w:hint="eastAsia" w:ascii="宋体" w:hAnsi="宋体" w:eastAsia="宋体" w:cs="宋体"/>
                <w:color w:val="000000"/>
                <w:sz w:val="18"/>
                <w:szCs w:val="18"/>
                <w:u w:color="000000"/>
                <w:lang w:val="en-US" w:eastAsia="zh-CN" w:bidi="ar"/>
              </w:rPr>
              <w:br w:type="textWrapping"/>
            </w:r>
            <w:r>
              <w:rPr>
                <w:rStyle w:val="24"/>
                <w:rFonts w:hint="eastAsia" w:ascii="宋体" w:hAnsi="宋体" w:eastAsia="宋体" w:cs="宋体"/>
                <w:color w:val="000000"/>
                <w:sz w:val="18"/>
                <w:szCs w:val="18"/>
                <w:u w:color="000000"/>
                <w:lang w:val="en-US" w:eastAsia="zh-CN" w:bidi="ar"/>
              </w:rPr>
              <w:t>配备多层抽屉，分为不同规格，内置分隔片便于分类管理。</w:t>
            </w:r>
            <w:r>
              <w:rPr>
                <w:rStyle w:val="24"/>
                <w:rFonts w:hint="eastAsia" w:ascii="宋体" w:hAnsi="宋体" w:eastAsia="宋体" w:cs="宋体"/>
                <w:color w:val="000000"/>
                <w:sz w:val="18"/>
                <w:szCs w:val="18"/>
                <w:u w:color="000000"/>
                <w:lang w:val="en-US" w:eastAsia="zh-CN" w:bidi="ar"/>
              </w:rPr>
              <w:br w:type="textWrapping"/>
            </w:r>
            <w:r>
              <w:rPr>
                <w:rStyle w:val="24"/>
                <w:rFonts w:hint="eastAsia" w:ascii="宋体" w:hAnsi="宋体" w:eastAsia="宋体" w:cs="宋体"/>
                <w:color w:val="000000"/>
                <w:sz w:val="18"/>
                <w:szCs w:val="18"/>
                <w:u w:color="000000"/>
                <w:lang w:val="en-US" w:eastAsia="zh-CN" w:bidi="ar"/>
              </w:rPr>
              <w:t>3. 配件配置</w:t>
            </w:r>
            <w:r>
              <w:rPr>
                <w:rStyle w:val="24"/>
                <w:rFonts w:hint="eastAsia" w:ascii="宋体" w:hAnsi="宋体" w:eastAsia="宋体" w:cs="宋体"/>
                <w:color w:val="000000"/>
                <w:sz w:val="18"/>
                <w:szCs w:val="18"/>
                <w:u w:color="000000"/>
                <w:lang w:val="en-US" w:eastAsia="zh-CN" w:bidi="ar"/>
              </w:rPr>
              <w:br w:type="textWrapping"/>
            </w:r>
            <w:r>
              <w:rPr>
                <w:rStyle w:val="24"/>
                <w:rFonts w:hint="eastAsia" w:ascii="宋体" w:hAnsi="宋体" w:eastAsia="宋体" w:cs="宋体"/>
                <w:color w:val="000000"/>
                <w:sz w:val="18"/>
                <w:szCs w:val="18"/>
                <w:u w:color="000000"/>
                <w:lang w:val="en-US" w:eastAsia="zh-CN" w:bidi="ar"/>
              </w:rPr>
              <w:t>标配副工作台、污物桶、升降输液架、氧气瓶支架、置物盒、除颤器平台及除颤板。</w:t>
            </w:r>
            <w:r>
              <w:rPr>
                <w:rStyle w:val="24"/>
                <w:rFonts w:hint="eastAsia" w:ascii="宋体" w:hAnsi="宋体" w:eastAsia="宋体" w:cs="宋体"/>
                <w:color w:val="000000"/>
                <w:sz w:val="18"/>
                <w:szCs w:val="18"/>
                <w:u w:color="000000"/>
                <w:lang w:val="en-US" w:eastAsia="zh-CN" w:bidi="ar"/>
              </w:rPr>
              <w:br w:type="textWrapping"/>
            </w:r>
            <w:r>
              <w:rPr>
                <w:rStyle w:val="24"/>
                <w:rFonts w:hint="eastAsia" w:ascii="宋体" w:hAnsi="宋体" w:eastAsia="宋体" w:cs="宋体"/>
                <w:color w:val="000000"/>
                <w:sz w:val="18"/>
                <w:szCs w:val="18"/>
                <w:u w:color="000000"/>
                <w:lang w:val="en-US" w:eastAsia="zh-CN" w:bidi="ar"/>
              </w:rPr>
              <w:t>4. 移动性能</w:t>
            </w:r>
            <w:r>
              <w:rPr>
                <w:rStyle w:val="24"/>
                <w:rFonts w:hint="eastAsia" w:ascii="宋体" w:hAnsi="宋体" w:eastAsia="宋体" w:cs="宋体"/>
                <w:color w:val="000000"/>
                <w:sz w:val="18"/>
                <w:szCs w:val="18"/>
                <w:u w:color="000000"/>
                <w:lang w:val="en-US" w:eastAsia="zh-CN" w:bidi="ar"/>
              </w:rPr>
              <w:br w:type="textWrapping"/>
            </w:r>
            <w:r>
              <w:rPr>
                <w:rStyle w:val="24"/>
                <w:rFonts w:hint="eastAsia" w:ascii="宋体" w:hAnsi="宋体" w:eastAsia="宋体" w:cs="宋体"/>
                <w:color w:val="000000"/>
                <w:sz w:val="18"/>
                <w:szCs w:val="18"/>
                <w:u w:color="000000"/>
                <w:lang w:val="en-US" w:eastAsia="zh-CN" w:bidi="ar"/>
              </w:rPr>
              <w:t>配备静音耐磨脚轮，其中至少两轮具备刹车功能，确保移动灵活且操作稳定。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个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533400</wp:posOffset>
                  </wp:positionV>
                  <wp:extent cx="714375" cy="714375"/>
                  <wp:effectExtent l="0" t="0" r="9525" b="9525"/>
                  <wp:wrapNone/>
                  <wp:docPr id="11" name="图片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15"/>
                          <pic:cNvPicPr/>
                        </pic:nvPicPr>
                        <pic:blipFill>
                          <a:blip r:link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折叠担架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1.铝合金+牛津革面料，承重不低于300斤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2.可折叠方便携带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个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276225</wp:posOffset>
                  </wp:positionV>
                  <wp:extent cx="771525" cy="544830"/>
                  <wp:effectExtent l="0" t="0" r="9525" b="7620"/>
                  <wp:wrapNone/>
                  <wp:docPr id="6" name="图片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16"/>
                          <pic:cNvPicPr/>
                        </pic:nvPicPr>
                        <pic:blipFill>
                          <a:blip r:link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头部固定器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整体部件包括基板和两条可以反复使用的头部固定带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在头部两侧有合理的耳洞用来观察出血或引流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整体材料无金属的设计， 无需病人脱掉头部固定器 即可进行X光透视、CT扫描、核磁共振成像检查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可与任何木制、铝制、及塑料的固定板和勺状担架合使用，还可配合多种颈托使用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个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304800</wp:posOffset>
                  </wp:positionV>
                  <wp:extent cx="638175" cy="551815"/>
                  <wp:effectExtent l="0" t="0" r="9525" b="635"/>
                  <wp:wrapNone/>
                  <wp:docPr id="8" name="图片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17"/>
                          <pic:cNvPicPr/>
                        </pic:nvPicPr>
                        <pic:blipFill>
                          <a:blip r:link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约束带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高强度丙纶材质，具有高强度拉力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个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342900</wp:posOffset>
                  </wp:positionV>
                  <wp:extent cx="753110" cy="305435"/>
                  <wp:effectExtent l="0" t="0" r="8890" b="18415"/>
                  <wp:wrapNone/>
                  <wp:docPr id="5" name="图片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18"/>
                          <pic:cNvPicPr/>
                        </pic:nvPicPr>
                        <pic:blipFill>
                          <a:blip r:link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1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过床器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尼龙和纳米材质，内板为聚丙烯材质，承重不低于150KG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个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142875</wp:posOffset>
                  </wp:positionV>
                  <wp:extent cx="774700" cy="723900"/>
                  <wp:effectExtent l="0" t="0" r="6350" b="0"/>
                  <wp:wrapNone/>
                  <wp:docPr id="2" name="图片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30"/>
                          <pic:cNvPicPr/>
                        </pic:nvPicPr>
                        <pic:blipFill>
                          <a:blip r:link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ICU病床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参考规格尺寸: 2160×960×（500-700）mm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1. 结构与材质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床头、床尾：采用高强度工程塑料制成，设计坚固耐用，可轻松拆卸，便于清洁和护理。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床面板：使用高质量材料制成，表面平整光滑，耐腐蚀，环保且易清洁。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床架：采用优质钢材，确保整体结构稳定，承重性能强。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2. 调节功能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床体高度可调，方便患者和医护人员操作。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 耐用性与安全性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表面处理工艺抗腐蚀、抗菌，符合医疗卫生标准。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设计符合人体工程学，为患者提供舒适支持。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个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447675</wp:posOffset>
                  </wp:positionV>
                  <wp:extent cx="779780" cy="476250"/>
                  <wp:effectExtent l="0" t="0" r="1270" b="0"/>
                  <wp:wrapNone/>
                  <wp:docPr id="1" name="图片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9"/>
                          <pic:cNvPicPr/>
                        </pic:nvPicPr>
                        <pic:blipFill>
                          <a:blip r:link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78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担架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1. 影像兼容性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支持全射线穿透性，可用于X光、CT、核磁共振等检查，无需搬动患者，影像清晰无干扰。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2. 材质与结构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使用高强度轻质材料，具有耐用性和良好的承重能力，适合多种急救需求。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表面防水，可用于水上救援，浮力设计能支持患者漂浮在水面。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 设计与操作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便携式设计，重量轻，易于操作。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手柄设计符合人体工程学，抓握空间充足，便于搬运。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 适配性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兼容多种头部固定设备，适应不同救护场景。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个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666750</wp:posOffset>
                  </wp:positionV>
                  <wp:extent cx="796925" cy="399415"/>
                  <wp:effectExtent l="0" t="0" r="3175" b="635"/>
                  <wp:wrapNone/>
                  <wp:docPr id="4" name="图片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20"/>
                          <pic:cNvPicPr/>
                        </pic:nvPicPr>
                        <pic:blipFill>
                          <a:blip r:link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25" cy="39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吊桥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1. 基础配置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支持标准市电电源输入，稳定运行。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设备连接部件具备防飘移和阻尼刹车功能，操作稳定。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旋转关节角度灵活，可适应多方向调整需求。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高承载能力，适用于多种医疗设备挂载。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2. 结构设计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主体采用高强度材质，表面防腐蚀处理，易于清洁和消毒。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封闭式结构，电气线路和气体管线内部隐藏，避免外露和脱落。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配备多层仪器平台，具有调节功能，边角圆滑防撞设计。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 气体与电气接口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气体终端支持氧气、负压吸引、压缩空气，接口具有防接错功能，使用寿命长。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电气系统具备多国标准兼容插座，电气和气体管线隔离设计，安全可靠。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 附件与功能扩展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配备可调输液泵架及挂钩，满足输液需求。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提供网络接口和接地端子，支持额外功能扩展。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5. 材料与安全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内部线路与气管采用区分色标设计，符合医疗安全标准，便于维护和识别。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个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990600</wp:posOffset>
                  </wp:positionV>
                  <wp:extent cx="800735" cy="511810"/>
                  <wp:effectExtent l="0" t="0" r="18415" b="2540"/>
                  <wp:wrapNone/>
                  <wp:docPr id="18" name="图片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_21"/>
                          <pic:cNvPicPr/>
                        </pic:nvPicPr>
                        <pic:blipFill>
                          <a:blip r:link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轮椅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1.采用碳钢材质壁厚不低于1.2mm，承重不低于260斤，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2.可折叠，方便存放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3.具有前后双刹车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4.免充气轮胎防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5.24英寸大轮，汽车级减震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6.蜂网透气坐垫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个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219075</wp:posOffset>
                  </wp:positionV>
                  <wp:extent cx="657225" cy="432435"/>
                  <wp:effectExtent l="0" t="0" r="9525" b="5715"/>
                  <wp:wrapNone/>
                  <wp:docPr id="10" name="图片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22"/>
                          <pic:cNvPicPr/>
                        </pic:nvPicPr>
                        <pic:blipFill>
                          <a:blip r:link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心肺复苏模拟人（成人）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1. 外形与结构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仿真男性全身模型，皮肤手感接近真实，耐用性高。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具有解剖标志的胸部结构，便于定位按压和操作。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支持多种通气方式（口对口、气囊对口等），气道密闭可靠。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2. 功能与反馈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提供按压深度、频率、通气量等关键指标的实时监测与反馈。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模拟生命体征（如颈动脉搏动、呼吸、瞳孔对光反射），增加仿真度。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内置智能系统，实时评估CPR质量并给出评分与改进建议。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 训练与评估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支持按压、通气、全流程CPR训练，覆盖不同难度级别。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提供实时数据展示与纠错功能，数据以图形化方式反馈。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自动记录和保存训练与考核数据，支持分类查看、分析和导出。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内置标准化急救指南（如AHA、ERC），支持定制化训练目标和评估标准。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 设备与软件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全无线设计，支持主流移动终端和操作系统（如Windows、MacOS、Android、iOS）。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软件功能多样化：实时指导、成绩评估、数据回放、自动评分、生成报告等。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兼容多种终端设备（手机、平板、电脑等），操作便捷。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5. 性能与耐久性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按压机械寿命长，支持高频次使用。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内置可充电电池，具备长续航能力，方便在多场景中应用。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个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-223520</wp:posOffset>
                  </wp:positionH>
                  <wp:positionV relativeFrom="paragraph">
                    <wp:posOffset>1443355</wp:posOffset>
                  </wp:positionV>
                  <wp:extent cx="1236980" cy="451485"/>
                  <wp:effectExtent l="0" t="0" r="5715" b="1270"/>
                  <wp:wrapNone/>
                  <wp:docPr id="24" name="图片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_23"/>
                          <pic:cNvPicPr/>
                        </pic:nvPicPr>
                        <pic:blipFill>
                          <a:blip r:link="rId2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36980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可视喉镜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1.液晶显示，防雾化设计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2.手柄防滑设计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3.设备镜头可伸缩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个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114300</wp:posOffset>
                  </wp:positionV>
                  <wp:extent cx="562610" cy="538480"/>
                  <wp:effectExtent l="0" t="0" r="8890" b="13970"/>
                  <wp:wrapNone/>
                  <wp:docPr id="23" name="图片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_24"/>
                          <pic:cNvPicPr/>
                        </pic:nvPicPr>
                        <pic:blipFill>
                          <a:blip r:link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610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气管插管套件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具有一次性注射器、中单、小单、导丝、导丝引导器、脱脂棉纱布、消毒刷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个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114300</wp:posOffset>
                  </wp:positionV>
                  <wp:extent cx="544195" cy="488315"/>
                  <wp:effectExtent l="0" t="0" r="8255" b="6985"/>
                  <wp:wrapNone/>
                  <wp:docPr id="25" name="图片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_25"/>
                          <pic:cNvPicPr/>
                        </pic:nvPicPr>
                        <pic:blipFill>
                          <a:blip r:link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195" cy="488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冰毯机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采用空气能制冷技术，可远程遥控，12V电压更安全，具有超导凉垫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个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133350</wp:posOffset>
                  </wp:positionV>
                  <wp:extent cx="559435" cy="457200"/>
                  <wp:effectExtent l="0" t="0" r="12065" b="0"/>
                  <wp:wrapNone/>
                  <wp:docPr id="30" name="图片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_29"/>
                          <pic:cNvPicPr/>
                        </pic:nvPicPr>
                        <pic:blipFill>
                          <a:blip r:link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4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急救包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牛津布材质防水防潮，全套国家标准药箱，不少于20种急救套装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个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28575</wp:posOffset>
                  </wp:positionV>
                  <wp:extent cx="707390" cy="640080"/>
                  <wp:effectExtent l="0" t="0" r="16510" b="7620"/>
                  <wp:wrapNone/>
                  <wp:docPr id="27" name="图片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_28"/>
                          <pic:cNvPicPr/>
                        </pic:nvPicPr>
                        <pic:blipFill>
                          <a:blip r:link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39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AED训练机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1. 设计与材质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仿真设计，外观与操作手感接近真实AED设备。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主机和遥控器采用坚固耐用材质，具备防水、防尘、防跌落特性。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表面可进行常规消毒清洁处理，适合高频使用环境。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2. 功能与模式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支持成人与儿童急救模式一键切换。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模拟AED操作全流程，包括开机、贴片连接、分析、语音指导及除颤指令。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提供多种训练情景（如电极片连接、设备故障提醒、不建议电击等），并支持训练过程的暂停和继续。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不具备实际高压电击功能，确保培训过程安全。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 显示与操作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配备高清触摸显示屏，显示内容清晰简洁，支持全程操作反馈。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提供中英文双语语音提示，音量可调，实时引导操作。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符合人机工程学设计，设备开盖自动启动，关闭自动关机，简化操作流程。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 控制与连接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主机采用内置可充电电池供电，遥控器使用普通电池供电。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主机与遥控器通过无线连接，确保灵活操控。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遥控器支持情景模拟与功能调控，包括语言切换、场景选择及训练管理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个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866775</wp:posOffset>
                  </wp:positionV>
                  <wp:extent cx="614045" cy="847090"/>
                  <wp:effectExtent l="0" t="0" r="14605" b="10160"/>
                  <wp:wrapNone/>
                  <wp:docPr id="28" name="图片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_26"/>
                          <pic:cNvPicPr/>
                        </pic:nvPicPr>
                        <pic:blipFill>
                          <a:blip r:link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045" cy="847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成人半身心肺复苏模型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1. 设计与材质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男性上半身仿真模型，外形与触感接近真实，耐用且便于清洁。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模拟真实的气道、胸腔和解剖结构，可通过口对口或复苏气囊完成人工通气。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胸部提供精准按压定位和力度反馈，并支持手动触发颈动脉搏动。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2. 训练功能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支持完整的单人CPR全流程训练，包括按压、通气及综合操作步骤。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提供专项训练模式（按压、通气等）和自定义测试功能，适应不同训练需求。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 数据监测与反馈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实时监测关键指标（按压深度、频率、位置、通气量、气道开放等），并提供直观图形化反馈。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支持训练成绩记录和分类保存，包括详细数据（按压/通气正确率、频率、深度等）和雷达图分析。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数据回放与导出功能。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 控制与连接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无需预先安装软件，支持无线连接主流终端设备（手机、平板、PC等），兼容常见操作系统。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全程操作界面清晰简洁，提供实时指导与评分功能。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5. 产品性能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按压机械寿命高，耐用性强。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全无线设计，内置可充电电池，续航能力满足长时间训练需求。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6. 配件配置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心肺复苏模拟人主体与充电器。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配套背包/衬垫、模拟人服装及使用说明书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个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1971675</wp:posOffset>
                  </wp:positionV>
                  <wp:extent cx="654685" cy="504825"/>
                  <wp:effectExtent l="0" t="0" r="9525" b="12065"/>
                  <wp:wrapNone/>
                  <wp:docPr id="22" name="图片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_27"/>
                          <pic:cNvPicPr/>
                        </pic:nvPicPr>
                        <pic:blipFill>
                          <a:blip r:link="rId31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65468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color w:val="222222"/>
          <w:u w:color="222222"/>
          <w:shd w:val="clear" w:color="auto" w:fill="FFFFFF"/>
        </w:rPr>
      </w:pPr>
    </w:p>
    <w:p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222222"/>
          <w:u w:color="222222"/>
          <w:shd w:val="clear" w:color="auto" w:fill="FFFFFF"/>
        </w:rPr>
        <w:t>说明：1.</w:t>
      </w:r>
      <w:r>
        <w:rPr>
          <w:rFonts w:hint="eastAsia" w:ascii="宋体" w:hAnsi="宋体" w:eastAsia="宋体" w:cs="宋体"/>
        </w:rPr>
        <w:t>报价包含：人工费、安装费、运输费、管理费、风险费、材料费、税费等一切费用。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2.报价人须提供详细的价格组成明细。</w:t>
      </w:r>
    </w:p>
    <w:p>
      <w:pPr>
        <w:spacing w:line="360" w:lineRule="auto"/>
        <w:ind w:firstLine="422" w:firstLineChars="200"/>
        <w:rPr>
          <w:rFonts w:ascii="宋体" w:hAnsi="宋体" w:eastAsia="宋体" w:cs="宋体"/>
          <w:b/>
          <w:bCs/>
          <w:lang w:val="zh-TW" w:eastAsia="zh-TW"/>
        </w:rPr>
      </w:pPr>
      <w:r>
        <w:rPr>
          <w:rFonts w:hint="eastAsia" w:ascii="宋体" w:hAnsi="宋体" w:eastAsia="宋体" w:cs="宋体"/>
          <w:b/>
          <w:bCs/>
          <w:lang w:val="zh-TW" w:eastAsia="zh-TW"/>
        </w:rPr>
        <w:t>二、报价方式：竞价谈判；</w:t>
      </w:r>
    </w:p>
    <w:p>
      <w:pPr>
        <w:spacing w:line="360" w:lineRule="auto"/>
        <w:ind w:firstLine="422" w:firstLineChars="200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三、合格竞谈方的要求</w:t>
      </w:r>
    </w:p>
    <w:p>
      <w:pPr>
        <w:spacing w:line="360" w:lineRule="auto"/>
        <w:ind w:firstLine="422" w:firstLineChars="2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1.营业执照要求：</w:t>
      </w:r>
    </w:p>
    <w:p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报价人须具备经国家市场监督管理部门登记注册的独立企业（事业）法人或其它组织或自然人，必须具备有效的营业执照。</w:t>
      </w:r>
    </w:p>
    <w:p>
      <w:pPr>
        <w:spacing w:line="360" w:lineRule="auto"/>
        <w:ind w:firstLine="422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2.财务状况要求：</w:t>
      </w:r>
    </w:p>
    <w:p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报价人财务状况良好，提供近三年的审计报告及审计过的财务报表，并加盖公司公章。</w:t>
      </w:r>
    </w:p>
    <w:p>
      <w:pPr>
        <w:spacing w:line="360" w:lineRule="auto"/>
        <w:ind w:firstLine="422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3.信用要求：</w:t>
      </w:r>
    </w:p>
    <w:p>
      <w:pPr>
        <w:spacing w:line="360" w:lineRule="auto"/>
        <w:ind w:firstLine="420" w:firstLineChars="20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未被列入失信被执行人、重大税收违法案件当事人、政府采购严重违法失信行为记录名单的报价人（以在“信用中国”网站（www.creditchina.gov.cn）查询的信用记录为准）；未被列入政府采购严重违法失信行为记录名单的报价人（以在中国政府采购网（www.ccgp.gov.cn）查询的信用记录为准）。需附网站查询截屏，截屏时间必须在公告发出日到响应文件递交日的期间内。</w:t>
      </w:r>
    </w:p>
    <w:p>
      <w:pPr>
        <w:spacing w:line="360" w:lineRule="auto"/>
        <w:ind w:firstLine="422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4.竟谈文件附件清单如下：</w:t>
      </w:r>
    </w:p>
    <w:p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包含但不限于以下材料，均应加盖公章。</w:t>
      </w:r>
      <w:r>
        <w:rPr>
          <w:rFonts w:hint="eastAsia" w:ascii="宋体" w:hAnsi="宋体" w:eastAsia="宋体" w:cs="宋体"/>
          <w:b/>
        </w:rPr>
        <w:t>商务部分和技术部分分开装订、分别进行密封，技术部分不得体现报价。</w:t>
      </w:r>
      <w:r>
        <w:rPr>
          <w:rFonts w:hint="eastAsia" w:ascii="宋体" w:hAnsi="宋体" w:eastAsia="宋体" w:cs="宋体"/>
        </w:rPr>
        <w:t>商务部分，技术部分的首页均需制作目录：</w:t>
      </w:r>
    </w:p>
    <w:p>
      <w:pPr>
        <w:pStyle w:val="21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技术部分</w:t>
      </w:r>
      <w:r>
        <w:rPr>
          <w:rFonts w:hint="eastAsia" w:ascii="宋体" w:hAnsi="宋体" w:eastAsia="宋体" w:cs="宋体"/>
          <w:b/>
          <w:lang w:eastAsia="zh-CN"/>
        </w:rPr>
        <w:t>（</w:t>
      </w:r>
      <w:r>
        <w:rPr>
          <w:rFonts w:hint="eastAsia" w:ascii="宋体" w:hAnsi="宋体" w:eastAsia="宋体" w:cs="宋体"/>
          <w:b/>
          <w:lang w:val="en-US" w:eastAsia="zh-CN"/>
        </w:rPr>
        <w:t>独立封装</w:t>
      </w:r>
      <w:r>
        <w:rPr>
          <w:rFonts w:hint="eastAsia" w:ascii="宋体" w:hAnsi="宋体" w:eastAsia="宋体" w:cs="宋体"/>
          <w:b/>
          <w:lang w:eastAsia="zh-CN"/>
        </w:rPr>
        <w:t>）</w:t>
      </w:r>
    </w:p>
    <w:tbl>
      <w:tblPr>
        <w:tblStyle w:val="9"/>
        <w:tblW w:w="10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产品品牌及详细参数、方案、到货及安装周期、质保期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公司近两年业绩介绍，附中标通知或合同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无不良记录承诺书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近三年的审计报告及审计过的财务报表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年（12月份）增值税完税证明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售后服务承诺书、质量保证承诺书</w:t>
            </w:r>
          </w:p>
        </w:tc>
      </w:tr>
    </w:tbl>
    <w:p>
      <w:pPr>
        <w:pStyle w:val="21"/>
        <w:spacing w:line="360" w:lineRule="auto"/>
        <w:ind w:left="1140" w:firstLine="0" w:firstLineChars="0"/>
        <w:rPr>
          <w:rFonts w:ascii="宋体" w:hAnsi="宋体" w:eastAsia="宋体" w:cs="宋体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（2）</w:t>
      </w:r>
      <w:r>
        <w:rPr>
          <w:rFonts w:hint="eastAsia" w:ascii="宋体" w:hAnsi="宋体" w:eastAsia="宋体" w:cs="宋体"/>
          <w:b/>
        </w:rPr>
        <w:t>商务部分</w:t>
      </w:r>
      <w:r>
        <w:rPr>
          <w:rFonts w:hint="eastAsia" w:ascii="宋体" w:hAnsi="宋体" w:eastAsia="宋体" w:cs="宋体"/>
          <w:b/>
          <w:lang w:eastAsia="zh-CN"/>
        </w:rPr>
        <w:t>（</w:t>
      </w:r>
      <w:r>
        <w:rPr>
          <w:rFonts w:hint="eastAsia" w:ascii="宋体" w:hAnsi="宋体" w:eastAsia="宋体" w:cs="宋体"/>
          <w:b/>
          <w:lang w:val="en-US" w:eastAsia="zh-CN"/>
        </w:rPr>
        <w:t>独立封装</w:t>
      </w:r>
      <w:r>
        <w:rPr>
          <w:rFonts w:hint="eastAsia" w:ascii="宋体" w:hAnsi="宋体" w:eastAsia="宋体" w:cs="宋体"/>
          <w:b/>
          <w:lang w:eastAsia="zh-CN"/>
        </w:rPr>
        <w:t>）</w:t>
      </w:r>
    </w:p>
    <w:tbl>
      <w:tblPr>
        <w:tblStyle w:val="9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8"/>
        <w:gridCol w:w="5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报价一览表</w:t>
            </w:r>
          </w:p>
        </w:tc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2.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分项报价表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3.法定代表人资格证明书</w:t>
            </w:r>
          </w:p>
        </w:tc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4.法定代表人授权委托书件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5.资质证明文件</w:t>
            </w:r>
          </w:p>
        </w:tc>
        <w:tc>
          <w:tcPr>
            <w:tcW w:w="5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5.报价人基本情况表</w:t>
            </w:r>
          </w:p>
        </w:tc>
      </w:tr>
    </w:tbl>
    <w:p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</w:p>
    <w:p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）</w:t>
      </w:r>
      <w:r>
        <w:rPr>
          <w:rFonts w:hint="eastAsia" w:ascii="宋体" w:hAnsi="宋体" w:eastAsia="宋体" w:cs="宋体"/>
          <w:lang w:val="zh-TW"/>
        </w:rPr>
        <w:t>竟谈文件</w:t>
      </w:r>
      <w:r>
        <w:rPr>
          <w:rFonts w:hint="eastAsia" w:ascii="宋体" w:hAnsi="宋体" w:eastAsia="宋体" w:cs="宋体"/>
          <w:lang w:val="zh-TW" w:eastAsia="zh-TW"/>
        </w:rPr>
        <w:t>请同时提供：纸质版一式</w:t>
      </w:r>
      <w:r>
        <w:rPr>
          <w:rFonts w:hint="eastAsia" w:ascii="宋体" w:hAnsi="宋体" w:eastAsia="宋体" w:cs="宋体"/>
        </w:rPr>
        <w:t>四</w:t>
      </w:r>
      <w:r>
        <w:rPr>
          <w:rFonts w:hint="eastAsia" w:ascii="宋体" w:hAnsi="宋体" w:eastAsia="宋体" w:cs="宋体"/>
          <w:lang w:val="zh-TW" w:eastAsia="zh-TW"/>
        </w:rPr>
        <w:t>份（一正</w:t>
      </w:r>
      <w:r>
        <w:rPr>
          <w:rFonts w:hint="eastAsia" w:ascii="宋体" w:hAnsi="宋体" w:eastAsia="宋体" w:cs="宋体"/>
        </w:rPr>
        <w:t>三</w:t>
      </w:r>
      <w:r>
        <w:rPr>
          <w:rFonts w:hint="eastAsia" w:ascii="宋体" w:hAnsi="宋体" w:eastAsia="宋体" w:cs="宋体"/>
          <w:lang w:val="zh-TW" w:eastAsia="zh-TW"/>
        </w:rPr>
        <w:t>副）、电子版一份（U盘）装入密封文件袋并在文件袋上标注联系人电话</w:t>
      </w:r>
      <w:r>
        <w:rPr>
          <w:rFonts w:hint="eastAsia" w:ascii="宋体" w:hAnsi="宋体" w:eastAsia="宋体" w:cs="宋体"/>
          <w:lang w:val="zh-TW"/>
        </w:rPr>
        <w:t>。竟谈文件</w:t>
      </w:r>
      <w:r>
        <w:rPr>
          <w:rFonts w:hint="eastAsia" w:ascii="宋体" w:hAnsi="宋体" w:eastAsia="宋体" w:cs="宋体"/>
        </w:rPr>
        <w:t>须用封套加以密封，在封口处盖骑缝公章。</w:t>
      </w:r>
      <w:bookmarkStart w:id="0" w:name="OLE_LINK2"/>
      <w:bookmarkStart w:id="1" w:name="OLE_LINK1"/>
      <w:r>
        <w:rPr>
          <w:rFonts w:hint="eastAsia" w:ascii="宋体" w:hAnsi="宋体" w:eastAsia="宋体" w:cs="宋体"/>
        </w:rPr>
        <w:t>商务部分和技术部分分开装订、分别进行密封，技术部分不得体现报价。</w:t>
      </w:r>
      <w:bookmarkEnd w:id="0"/>
      <w:bookmarkEnd w:id="1"/>
    </w:p>
    <w:p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ascii="宋体" w:hAnsi="宋体" w:eastAsia="宋体" w:cs="宋体"/>
        </w:rPr>
        <w:t>4</w:t>
      </w:r>
      <w:r>
        <w:rPr>
          <w:rFonts w:hint="eastAsia" w:ascii="宋体" w:hAnsi="宋体" w:eastAsia="宋体" w:cs="宋体"/>
        </w:rPr>
        <w:t>）未执行上述规定的竟谈文件，将被视为无效竟谈文件。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lang w:val="zh-TW"/>
        </w:rPr>
      </w:pPr>
      <w:r>
        <w:rPr>
          <w:rFonts w:hint="eastAsia" w:ascii="宋体" w:hAnsi="宋体" w:eastAsia="宋体" w:cs="宋体"/>
        </w:rPr>
        <w:t>（</w:t>
      </w:r>
      <w:r>
        <w:rPr>
          <w:rFonts w:ascii="宋体" w:hAnsi="宋体" w:eastAsia="宋体" w:cs="宋体"/>
        </w:rPr>
        <w:t>5</w:t>
      </w:r>
      <w:r>
        <w:rPr>
          <w:rFonts w:hint="eastAsia" w:ascii="宋体" w:hAnsi="宋体" w:eastAsia="宋体" w:cs="宋体"/>
        </w:rPr>
        <w:t>）本公司保留第一次评审后，根据实际情况有可能进行补充询价及二次评审的权利。</w:t>
      </w:r>
    </w:p>
    <w:p>
      <w:pPr>
        <w:spacing w:line="400" w:lineRule="exact"/>
        <w:ind w:firstLine="422" w:firstLineChars="200"/>
        <w:rPr>
          <w:rFonts w:ascii="宋体" w:hAnsi="宋体" w:eastAsia="宋体" w:cs="宋体"/>
          <w:b/>
          <w:bCs/>
          <w:lang w:val="zh-TW" w:eastAsia="zh-TW"/>
        </w:rPr>
      </w:pPr>
      <w:r>
        <w:rPr>
          <w:rFonts w:hint="eastAsia" w:ascii="宋体" w:hAnsi="宋体" w:eastAsia="宋体" w:cs="宋体"/>
          <w:b/>
          <w:bCs/>
          <w:lang w:val="zh-TW" w:eastAsia="zh-TW"/>
        </w:rPr>
        <w:t>四、其他说明</w:t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1</w:t>
      </w:r>
      <w:r>
        <w:rPr>
          <w:rFonts w:hint="eastAsia" w:ascii="宋体" w:hAnsi="宋体" w:eastAsia="宋体" w:cs="宋体"/>
          <w:lang w:val="zh-TW"/>
        </w:rPr>
        <w:t>.</w:t>
      </w:r>
      <w:r>
        <w:rPr>
          <w:rFonts w:hint="eastAsia" w:ascii="宋体" w:hAnsi="宋体" w:eastAsia="宋体" w:cs="宋体"/>
          <w:lang w:val="zh-TW" w:eastAsia="zh-TW"/>
        </w:rPr>
        <w:t>本谈判文件提出的各个参数仅作参考，不作为本次采购的唯一参数，在同等级的情况下，优先考虑报价低的公司。</w:t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2</w:t>
      </w:r>
      <w:r>
        <w:rPr>
          <w:rFonts w:hint="eastAsia" w:ascii="宋体" w:hAnsi="宋体" w:eastAsia="宋体" w:cs="宋体"/>
          <w:lang w:val="zh-TW"/>
        </w:rPr>
        <w:t>.</w:t>
      </w:r>
      <w:r>
        <w:rPr>
          <w:rFonts w:hint="eastAsia" w:ascii="宋体" w:hAnsi="宋体" w:eastAsia="宋体" w:cs="宋体"/>
          <w:lang w:val="zh-TW" w:eastAsia="zh-TW"/>
        </w:rPr>
        <w:t>参与竞价的公司可提供等效替代品，条件是满足或正偏离需求产品的功能、性能要求，且价格不得高于原需求产品。</w:t>
      </w:r>
    </w:p>
    <w:p>
      <w:pPr>
        <w:spacing w:line="400" w:lineRule="exact"/>
        <w:ind w:firstLine="420" w:firstLineChars="200"/>
        <w:rPr>
          <w:rFonts w:hint="eastAsia"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3</w:t>
      </w:r>
      <w:r>
        <w:rPr>
          <w:rFonts w:hint="eastAsia" w:ascii="宋体" w:hAnsi="宋体" w:eastAsia="宋体" w:cs="宋体"/>
          <w:lang w:val="zh-TW"/>
        </w:rPr>
        <w:t>.</w:t>
      </w:r>
      <w:r>
        <w:rPr>
          <w:rFonts w:hint="eastAsia" w:ascii="宋体" w:hAnsi="宋体" w:eastAsia="宋体" w:cs="宋体"/>
          <w:lang w:val="zh-TW" w:eastAsia="zh-TW"/>
        </w:rPr>
        <w:t>为保证竞价谈判质量，请</w:t>
      </w:r>
      <w:r>
        <w:rPr>
          <w:rFonts w:hint="eastAsia" w:ascii="宋体" w:hAnsi="宋体" w:eastAsia="宋体" w:cs="宋体"/>
        </w:rPr>
        <w:t>参与</w:t>
      </w:r>
      <w:r>
        <w:rPr>
          <w:rFonts w:hint="eastAsia" w:ascii="宋体" w:hAnsi="宋体" w:eastAsia="宋体" w:cs="宋体"/>
          <w:lang w:val="zh-TW" w:eastAsia="zh-TW"/>
        </w:rPr>
        <w:t>竞价的公司技术人员和商务人员同时到场参加谈判。</w:t>
      </w:r>
    </w:p>
    <w:p>
      <w:pPr>
        <w:spacing w:line="400" w:lineRule="exact"/>
        <w:ind w:firstLine="420" w:firstLineChars="200"/>
        <w:rPr>
          <w:rFonts w:hint="eastAsia"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4.竞价公司请携带具有代表性的产品样品参加，以便更好展示产品性能与优势。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  <w:lang w:val="zh-TW" w:eastAsia="zh-TW"/>
        </w:rPr>
        <w:t>.本项目代理服务费由</w:t>
      </w:r>
      <w:r>
        <w:rPr>
          <w:rFonts w:hint="eastAsia" w:ascii="宋体" w:hAnsi="宋体" w:eastAsia="宋体" w:cs="宋体"/>
          <w:lang w:val="en-US" w:eastAsia="zh-CN"/>
        </w:rPr>
        <w:t>中标人</w:t>
      </w:r>
      <w:r>
        <w:rPr>
          <w:rFonts w:hint="eastAsia" w:ascii="宋体" w:hAnsi="宋体" w:eastAsia="宋体" w:cs="宋体"/>
          <w:lang w:val="zh-TW" w:eastAsia="zh-TW"/>
        </w:rPr>
        <w:t>支付。收费标准：参照“国家计委关于印发《招标代理服务收费管理暂行办法》的通知（计价格〔2002〕1980号）”与“国家发展改革委办公厅关于招标代理服务收费有关问题的通知（发改办价格〔2003〕857号）”的要求及规定的货物类标准计算后向中标单位收取代理服务费。</w:t>
      </w:r>
    </w:p>
    <w:p>
      <w:pPr>
        <w:spacing w:line="400" w:lineRule="exact"/>
        <w:ind w:firstLine="422" w:firstLineChars="200"/>
        <w:rPr>
          <w:rFonts w:ascii="宋体" w:hAnsi="宋体" w:eastAsia="宋体" w:cs="宋体"/>
          <w:b/>
          <w:bCs/>
          <w:lang w:val="zh-TW" w:eastAsia="zh-TW"/>
        </w:rPr>
      </w:pPr>
      <w:r>
        <w:rPr>
          <w:rFonts w:hint="eastAsia" w:ascii="宋体" w:hAnsi="宋体" w:eastAsia="宋体" w:cs="宋体"/>
          <w:b/>
          <w:bCs/>
        </w:rPr>
        <w:t>五、竞谈文件</w:t>
      </w:r>
      <w:r>
        <w:rPr>
          <w:rFonts w:hint="eastAsia" w:ascii="宋体" w:hAnsi="宋体" w:eastAsia="宋体" w:cs="宋体"/>
          <w:b/>
          <w:bCs/>
          <w:lang w:val="zh-TW" w:eastAsia="zh-TW"/>
        </w:rPr>
        <w:t>投递</w:t>
      </w:r>
      <w:r>
        <w:rPr>
          <w:rFonts w:hint="eastAsia" w:ascii="宋体" w:hAnsi="宋体" w:eastAsia="宋体" w:cs="宋体"/>
          <w:b/>
          <w:bCs/>
        </w:rPr>
        <w:t>信息</w:t>
      </w:r>
      <w:r>
        <w:rPr>
          <w:rFonts w:hint="eastAsia" w:ascii="宋体" w:hAnsi="宋体" w:eastAsia="宋体" w:cs="宋体"/>
          <w:b/>
          <w:bCs/>
          <w:lang w:val="zh-TW" w:eastAsia="zh-TW"/>
        </w:rPr>
        <w:t>和评审</w:t>
      </w:r>
      <w:r>
        <w:rPr>
          <w:rFonts w:hint="eastAsia" w:ascii="宋体" w:hAnsi="宋体" w:eastAsia="宋体" w:cs="宋体"/>
          <w:b/>
          <w:bCs/>
        </w:rPr>
        <w:t>信息</w:t>
      </w:r>
    </w:p>
    <w:p>
      <w:pPr>
        <w:spacing w:line="400" w:lineRule="exact"/>
        <w:ind w:firstLine="422" w:firstLineChars="2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1.竞谈文件</w:t>
      </w:r>
      <w:r>
        <w:rPr>
          <w:rFonts w:hint="eastAsia" w:ascii="宋体" w:hAnsi="宋体" w:eastAsia="宋体" w:cs="宋体"/>
          <w:b/>
          <w:bCs/>
          <w:lang w:val="zh-TW" w:eastAsia="zh-TW"/>
        </w:rPr>
        <w:t>投递</w:t>
      </w:r>
      <w:r>
        <w:rPr>
          <w:rFonts w:hint="eastAsia" w:ascii="宋体" w:hAnsi="宋体" w:eastAsia="宋体" w:cs="宋体"/>
          <w:b/>
          <w:bCs/>
        </w:rPr>
        <w:t>信息</w:t>
      </w:r>
    </w:p>
    <w:p>
      <w:pPr>
        <w:spacing w:line="400" w:lineRule="exact"/>
        <w:ind w:firstLine="422" w:firstLineChars="200"/>
        <w:rPr>
          <w:rFonts w:ascii="宋体" w:hAnsi="宋体" w:eastAsia="宋体" w:cs="宋体"/>
          <w:b/>
          <w:bCs/>
          <w:highlight w:val="yellow"/>
        </w:rPr>
      </w:pPr>
      <w:r>
        <w:rPr>
          <w:rFonts w:hint="eastAsia" w:ascii="宋体" w:hAnsi="宋体" w:eastAsia="宋体" w:cs="宋体"/>
          <w:b/>
          <w:bCs/>
        </w:rPr>
        <w:t>（1）文件递交</w:t>
      </w:r>
      <w:r>
        <w:rPr>
          <w:rFonts w:hint="eastAsia" w:ascii="宋体" w:hAnsi="宋体" w:eastAsia="宋体" w:cs="宋体"/>
          <w:b/>
          <w:bCs/>
          <w:lang w:val="zh-TW" w:eastAsia="zh-TW"/>
        </w:rPr>
        <w:t>截止时间：</w:t>
      </w:r>
      <w:r>
        <w:rPr>
          <w:rFonts w:hint="eastAsia" w:ascii="宋体" w:hAnsi="宋体" w:eastAsia="宋体" w:cs="宋体"/>
          <w:lang w:val="zh-TW" w:eastAsia="zh-TW"/>
        </w:rPr>
        <w:t>2024年</w:t>
      </w:r>
      <w:r>
        <w:rPr>
          <w:rFonts w:hint="eastAsia" w:ascii="宋体" w:hAnsi="宋体" w:eastAsia="宋体" w:cs="宋体"/>
          <w:lang w:val="en-US" w:eastAsia="zh-CN"/>
        </w:rPr>
        <w:t>12</w:t>
      </w:r>
      <w:r>
        <w:rPr>
          <w:rFonts w:hint="eastAsia" w:ascii="宋体" w:hAnsi="宋体" w:eastAsia="宋体" w:cs="宋体"/>
          <w:lang w:val="zh-TW" w:eastAsia="zh-TW"/>
        </w:rPr>
        <w:t>月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  <w:lang w:val="zh-TW" w:eastAsia="zh-TW"/>
        </w:rPr>
        <w:t>日</w:t>
      </w:r>
      <w:r>
        <w:rPr>
          <w:rFonts w:hint="eastAsia" w:ascii="宋体" w:hAnsi="宋体" w:eastAsia="宋体" w:cs="宋体"/>
          <w:lang w:val="en-US" w:eastAsia="zh-CN"/>
        </w:rPr>
        <w:t>中</w:t>
      </w:r>
      <w:r>
        <w:rPr>
          <w:rFonts w:hint="eastAsia" w:ascii="宋体" w:hAnsi="宋体" w:eastAsia="宋体" w:cs="宋体"/>
          <w:lang w:val="zh-TW" w:eastAsia="zh-TW"/>
        </w:rPr>
        <w:t>午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  <w:lang w:val="zh-TW" w:eastAsia="zh-TW"/>
        </w:rPr>
        <w:t>:</w:t>
      </w:r>
      <w:r>
        <w:rPr>
          <w:rFonts w:hint="eastAsia" w:ascii="宋体" w:hAnsi="宋体" w:eastAsia="宋体" w:cs="宋体"/>
        </w:rPr>
        <w:t>0</w:t>
      </w:r>
      <w:r>
        <w:rPr>
          <w:rFonts w:hint="eastAsia" w:ascii="宋体" w:hAnsi="宋体" w:eastAsia="宋体" w:cs="宋体"/>
          <w:lang w:val="zh-TW" w:eastAsia="zh-TW"/>
        </w:rPr>
        <w:t>0</w:t>
      </w:r>
      <w:r>
        <w:rPr>
          <w:rFonts w:hint="eastAsia" w:ascii="宋体" w:hAnsi="宋体" w:eastAsia="宋体" w:cs="宋体"/>
          <w:lang w:val="zh-TW"/>
        </w:rPr>
        <w:t>。</w:t>
      </w:r>
      <w:r>
        <w:rPr>
          <w:rFonts w:hint="eastAsia" w:ascii="宋体" w:hAnsi="宋体" w:eastAsia="宋体" w:cs="宋体"/>
          <w:lang w:val="zh-TW" w:eastAsia="zh-TW"/>
        </w:rPr>
        <w:t>(可提前提交)</w:t>
      </w:r>
    </w:p>
    <w:p>
      <w:pPr>
        <w:spacing w:line="400" w:lineRule="exact"/>
        <w:ind w:firstLine="422" w:firstLineChars="200"/>
        <w:rPr>
          <w:rFonts w:ascii="宋体" w:hAnsi="宋体" w:eastAsia="宋体" w:cs="宋体"/>
          <w:b/>
          <w:bCs/>
          <w:highlight w:val="yellow"/>
          <w:lang w:val="zh-TW" w:eastAsia="zh-TW"/>
        </w:rPr>
      </w:pPr>
      <w:r>
        <w:rPr>
          <w:rFonts w:hint="eastAsia" w:ascii="宋体" w:hAnsi="宋体" w:eastAsia="宋体" w:cs="宋体"/>
          <w:b/>
          <w:bCs/>
          <w:lang w:val="zh-TW"/>
        </w:rPr>
        <w:t>（</w:t>
      </w:r>
      <w:r>
        <w:rPr>
          <w:rFonts w:hint="eastAsia" w:ascii="宋体" w:hAnsi="宋体" w:eastAsia="宋体" w:cs="宋体"/>
          <w:b/>
          <w:bCs/>
        </w:rPr>
        <w:t>2</w:t>
      </w:r>
      <w:r>
        <w:rPr>
          <w:rFonts w:hint="eastAsia" w:ascii="宋体" w:hAnsi="宋体" w:eastAsia="宋体" w:cs="宋体"/>
          <w:b/>
          <w:bCs/>
          <w:lang w:val="zh-TW"/>
        </w:rPr>
        <w:t>）</w:t>
      </w:r>
      <w:r>
        <w:rPr>
          <w:rFonts w:hint="eastAsia" w:ascii="宋体" w:hAnsi="宋体" w:eastAsia="宋体" w:cs="宋体"/>
          <w:b/>
          <w:bCs/>
        </w:rPr>
        <w:t>文件</w:t>
      </w:r>
      <w:r>
        <w:rPr>
          <w:rFonts w:hint="eastAsia" w:ascii="宋体" w:hAnsi="宋体" w:eastAsia="宋体" w:cs="宋体"/>
          <w:b/>
          <w:bCs/>
          <w:lang w:val="zh-TW" w:eastAsia="zh-TW"/>
        </w:rPr>
        <w:t>递交地点：云南省昆明市五华区海屯路296</w:t>
      </w:r>
      <w:r>
        <w:rPr>
          <w:rFonts w:hint="eastAsia" w:ascii="宋体" w:hAnsi="宋体" w:eastAsia="宋体" w:cs="宋体"/>
          <w:b/>
          <w:bCs/>
        </w:rPr>
        <w:t>号</w:t>
      </w:r>
      <w:r>
        <w:rPr>
          <w:rFonts w:hint="eastAsia" w:ascii="宋体" w:hAnsi="宋体" w:eastAsia="宋体" w:cs="宋体"/>
          <w:b/>
          <w:bCs/>
          <w:lang w:val="zh-TW"/>
        </w:rPr>
        <w:t>，</w:t>
      </w:r>
      <w:r>
        <w:rPr>
          <w:rFonts w:hint="eastAsia" w:ascii="宋体" w:hAnsi="宋体" w:eastAsia="宋体" w:cs="宋体"/>
          <w:b/>
          <w:bCs/>
          <w:lang w:val="zh-TW" w:eastAsia="zh-TW"/>
        </w:rPr>
        <w:t>云南</w:t>
      </w:r>
      <w:r>
        <w:rPr>
          <w:rFonts w:hint="eastAsia" w:ascii="宋体" w:hAnsi="宋体" w:eastAsia="宋体" w:cs="宋体"/>
          <w:b/>
          <w:bCs/>
          <w:lang w:val="en-US" w:eastAsia="zh-CN"/>
        </w:rPr>
        <w:t>医药健康职业学院</w:t>
      </w:r>
      <w:r>
        <w:rPr>
          <w:rFonts w:hint="eastAsia" w:ascii="宋体" w:hAnsi="宋体" w:eastAsia="宋体" w:cs="宋体"/>
          <w:b/>
          <w:bCs/>
          <w:lang w:val="zh-TW" w:eastAsia="zh-TW"/>
        </w:rPr>
        <w:t>（海源校区）综合楼8楼</w:t>
      </w:r>
      <w:r>
        <w:rPr>
          <w:rFonts w:hint="eastAsia" w:ascii="宋体" w:hAnsi="宋体" w:eastAsia="宋体" w:cs="宋体"/>
          <w:b/>
          <w:bCs/>
          <w:lang w:val="zh-TW"/>
        </w:rPr>
        <w:t>。</w:t>
      </w:r>
    </w:p>
    <w:p>
      <w:pPr>
        <w:spacing w:line="400" w:lineRule="exact"/>
        <w:ind w:firstLine="422" w:firstLineChars="2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2.</w:t>
      </w:r>
      <w:r>
        <w:rPr>
          <w:rFonts w:hint="eastAsia" w:ascii="宋体" w:hAnsi="宋体" w:eastAsia="宋体" w:cs="宋体"/>
          <w:b/>
          <w:bCs/>
          <w:lang w:val="zh-TW" w:eastAsia="zh-TW"/>
        </w:rPr>
        <w:t>评审</w:t>
      </w:r>
      <w:r>
        <w:rPr>
          <w:rFonts w:hint="eastAsia" w:ascii="宋体" w:hAnsi="宋体" w:eastAsia="宋体" w:cs="宋体"/>
          <w:b/>
          <w:bCs/>
        </w:rPr>
        <w:t>信息</w:t>
      </w:r>
    </w:p>
    <w:p>
      <w:pPr>
        <w:spacing w:line="400" w:lineRule="exact"/>
        <w:ind w:firstLine="422" w:firstLineChars="200"/>
        <w:rPr>
          <w:rFonts w:ascii="宋体" w:hAnsi="宋体" w:eastAsia="宋体" w:cs="宋体"/>
          <w:lang w:val="zh-TW"/>
        </w:rPr>
      </w:pPr>
      <w:r>
        <w:rPr>
          <w:rFonts w:hint="eastAsia" w:ascii="宋体" w:hAnsi="宋体" w:eastAsia="宋体" w:cs="宋体"/>
          <w:b/>
          <w:bCs/>
        </w:rPr>
        <w:t>（1）竞谈</w:t>
      </w:r>
      <w:r>
        <w:rPr>
          <w:rFonts w:hint="eastAsia" w:ascii="宋体" w:hAnsi="宋体" w:eastAsia="宋体" w:cs="宋体"/>
          <w:b/>
          <w:bCs/>
          <w:lang w:val="zh-TW" w:eastAsia="zh-TW"/>
        </w:rPr>
        <w:t>评审时间：</w:t>
      </w:r>
      <w:r>
        <w:rPr>
          <w:rFonts w:hint="eastAsia" w:ascii="宋体" w:hAnsi="宋体" w:eastAsia="宋体" w:cs="宋体"/>
          <w:lang w:val="zh-TW" w:eastAsia="zh-TW"/>
        </w:rPr>
        <w:t>2024年</w:t>
      </w:r>
      <w:r>
        <w:rPr>
          <w:rFonts w:hint="eastAsia" w:ascii="宋体" w:hAnsi="宋体" w:eastAsia="宋体" w:cs="宋体"/>
          <w:lang w:val="en-US" w:eastAsia="zh-CN"/>
        </w:rPr>
        <w:t>12</w:t>
      </w:r>
      <w:r>
        <w:rPr>
          <w:rFonts w:hint="eastAsia" w:ascii="宋体" w:hAnsi="宋体" w:eastAsia="宋体" w:cs="宋体"/>
          <w:lang w:val="zh-TW" w:eastAsia="zh-TW"/>
        </w:rPr>
        <w:t>月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  <w:lang w:val="zh-TW" w:eastAsia="zh-TW"/>
        </w:rPr>
        <w:t>日</w:t>
      </w:r>
      <w:r>
        <w:rPr>
          <w:rFonts w:hint="eastAsia" w:ascii="宋体" w:hAnsi="宋体" w:eastAsia="宋体" w:cs="宋体"/>
          <w:lang w:val="en-US" w:eastAsia="zh-CN"/>
        </w:rPr>
        <w:t>下</w:t>
      </w:r>
      <w:r>
        <w:rPr>
          <w:rFonts w:hint="eastAsia" w:ascii="宋体" w:hAnsi="宋体" w:eastAsia="宋体" w:cs="宋体"/>
          <w:lang w:val="zh-TW" w:eastAsia="zh-TW"/>
        </w:rPr>
        <w:t>午</w:t>
      </w:r>
      <w:r>
        <w:rPr>
          <w:rFonts w:hint="eastAsia" w:ascii="宋体" w:hAnsi="宋体" w:eastAsia="宋体" w:cs="宋体"/>
          <w:lang w:val="en-US" w:eastAsia="zh-CN"/>
        </w:rPr>
        <w:t>13</w:t>
      </w:r>
      <w:r>
        <w:rPr>
          <w:rFonts w:hint="eastAsia" w:ascii="宋体" w:hAnsi="宋体" w:eastAsia="宋体" w:cs="宋体"/>
          <w:lang w:val="zh-TW" w:eastAsia="zh-TW"/>
        </w:rPr>
        <w:t>: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  <w:lang w:val="zh-TW" w:eastAsia="zh-TW"/>
        </w:rPr>
        <w:t>0</w:t>
      </w:r>
      <w:r>
        <w:rPr>
          <w:rFonts w:hint="eastAsia" w:ascii="宋体" w:hAnsi="宋体" w:eastAsia="宋体" w:cs="宋体"/>
          <w:lang w:val="zh-TW"/>
        </w:rPr>
        <w:t>。</w:t>
      </w:r>
    </w:p>
    <w:p>
      <w:pPr>
        <w:spacing w:line="400" w:lineRule="exact"/>
        <w:ind w:firstLine="422" w:firstLineChars="200"/>
        <w:rPr>
          <w:rFonts w:ascii="宋体" w:hAnsi="宋体" w:eastAsia="宋体" w:cs="宋体"/>
          <w:b/>
          <w:bCs/>
          <w:lang w:val="zh-TW"/>
        </w:rPr>
      </w:pPr>
      <w:r>
        <w:rPr>
          <w:rFonts w:hint="eastAsia" w:ascii="宋体" w:hAnsi="宋体" w:eastAsia="宋体" w:cs="宋体"/>
          <w:b/>
          <w:bCs/>
          <w:lang w:val="zh-TW"/>
        </w:rPr>
        <w:t>（</w:t>
      </w:r>
      <w:r>
        <w:rPr>
          <w:rFonts w:hint="eastAsia" w:ascii="宋体" w:hAnsi="宋体" w:eastAsia="宋体" w:cs="宋体"/>
          <w:b/>
          <w:bCs/>
        </w:rPr>
        <w:t>2</w:t>
      </w:r>
      <w:r>
        <w:rPr>
          <w:rFonts w:hint="eastAsia" w:ascii="宋体" w:hAnsi="宋体" w:eastAsia="宋体" w:cs="宋体"/>
          <w:b/>
          <w:bCs/>
          <w:lang w:val="zh-TW"/>
        </w:rPr>
        <w:t>）</w:t>
      </w:r>
      <w:r>
        <w:rPr>
          <w:rFonts w:hint="eastAsia" w:ascii="宋体" w:hAnsi="宋体" w:eastAsia="宋体" w:cs="宋体"/>
          <w:b/>
          <w:bCs/>
        </w:rPr>
        <w:t>竞谈</w:t>
      </w:r>
      <w:r>
        <w:rPr>
          <w:rFonts w:hint="eastAsia" w:ascii="宋体" w:hAnsi="宋体" w:eastAsia="宋体" w:cs="宋体"/>
          <w:b/>
          <w:bCs/>
          <w:lang w:val="zh-TW" w:eastAsia="zh-TW"/>
        </w:rPr>
        <w:t>评审地点：云南省昆明市五华区海屯</w:t>
      </w:r>
      <w:bookmarkStart w:id="2" w:name="_GoBack"/>
      <w:bookmarkEnd w:id="2"/>
      <w:r>
        <w:rPr>
          <w:rFonts w:hint="eastAsia" w:ascii="宋体" w:hAnsi="宋体" w:eastAsia="宋体" w:cs="宋体"/>
          <w:b/>
          <w:bCs/>
          <w:lang w:val="zh-TW" w:eastAsia="zh-TW"/>
        </w:rPr>
        <w:t>路296</w:t>
      </w:r>
      <w:r>
        <w:rPr>
          <w:rFonts w:hint="eastAsia" w:ascii="宋体" w:hAnsi="宋体" w:eastAsia="宋体" w:cs="宋体"/>
          <w:b/>
          <w:bCs/>
        </w:rPr>
        <w:t>号</w:t>
      </w:r>
      <w:r>
        <w:rPr>
          <w:rFonts w:hint="eastAsia" w:ascii="宋体" w:hAnsi="宋体" w:eastAsia="宋体" w:cs="宋体"/>
          <w:b/>
          <w:bCs/>
          <w:lang w:val="zh-TW"/>
        </w:rPr>
        <w:t>，</w:t>
      </w:r>
      <w:r>
        <w:rPr>
          <w:rFonts w:hint="eastAsia" w:ascii="宋体" w:hAnsi="宋体" w:eastAsia="宋体" w:cs="宋体"/>
          <w:b/>
          <w:bCs/>
          <w:lang w:val="zh-TW" w:eastAsia="zh-TW"/>
        </w:rPr>
        <w:t>云南</w:t>
      </w:r>
      <w:r>
        <w:rPr>
          <w:rFonts w:hint="eastAsia" w:ascii="宋体" w:hAnsi="宋体" w:eastAsia="宋体" w:cs="宋体"/>
          <w:b/>
          <w:bCs/>
          <w:lang w:val="en-US" w:eastAsia="zh-CN"/>
        </w:rPr>
        <w:t>医药健康职业学院</w:t>
      </w:r>
      <w:r>
        <w:rPr>
          <w:rFonts w:hint="eastAsia" w:ascii="宋体" w:hAnsi="宋体" w:eastAsia="宋体" w:cs="宋体"/>
          <w:b/>
          <w:bCs/>
          <w:lang w:val="zh-TW" w:eastAsia="zh-TW"/>
        </w:rPr>
        <w:t>（海源校区）综合楼8楼</w:t>
      </w:r>
      <w:r>
        <w:rPr>
          <w:rFonts w:hint="eastAsia" w:ascii="宋体" w:hAnsi="宋体" w:eastAsia="宋体" w:cs="宋体"/>
          <w:b/>
          <w:bCs/>
        </w:rPr>
        <w:t>会议室</w:t>
      </w:r>
      <w:r>
        <w:rPr>
          <w:rFonts w:hint="eastAsia" w:ascii="宋体" w:hAnsi="宋体" w:eastAsia="宋体" w:cs="宋体"/>
          <w:b/>
          <w:bCs/>
          <w:lang w:val="zh-TW"/>
        </w:rPr>
        <w:t>。</w:t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  <w:lang w:val="zh-TW" w:eastAsia="zh-TW"/>
        </w:rPr>
        <w:t>.联系方式</w:t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（1）</w:t>
      </w:r>
      <w:r>
        <w:rPr>
          <w:rFonts w:hint="eastAsia" w:ascii="宋体" w:hAnsi="宋体" w:eastAsia="宋体" w:cs="宋体"/>
        </w:rPr>
        <w:t>项目负责</w:t>
      </w:r>
      <w:r>
        <w:rPr>
          <w:rFonts w:hint="eastAsia" w:ascii="宋体" w:hAnsi="宋体" w:eastAsia="宋体" w:cs="宋体"/>
          <w:lang w:val="zh-TW" w:eastAsia="zh-TW"/>
        </w:rPr>
        <w:t>人：</w:t>
      </w:r>
      <w:r>
        <w:rPr>
          <w:rFonts w:hint="eastAsia" w:ascii="宋体" w:hAnsi="宋体" w:eastAsia="宋体" w:cs="宋体"/>
          <w:lang w:val="en-US" w:eastAsia="zh-CN"/>
        </w:rPr>
        <w:t>崔</w:t>
      </w:r>
      <w:r>
        <w:rPr>
          <w:rFonts w:hint="eastAsia" w:ascii="宋体" w:hAnsi="宋体" w:eastAsia="宋体" w:cs="宋体"/>
          <w:lang w:val="zh-TW" w:eastAsia="zh-TW"/>
        </w:rPr>
        <w:t>老师</w:t>
      </w:r>
      <w:r>
        <w:rPr>
          <w:rFonts w:hint="eastAsia" w:ascii="宋体" w:hAnsi="宋体" w:eastAsia="宋体" w:cs="宋体"/>
        </w:rPr>
        <w:t>13888026212</w:t>
      </w:r>
      <w:r>
        <w:rPr>
          <w:rFonts w:hint="eastAsia" w:ascii="宋体" w:hAnsi="宋体" w:eastAsia="宋体" w:cs="宋体"/>
          <w:lang w:val="zh-TW" w:eastAsia="zh-TW"/>
        </w:rPr>
        <w:t>。</w:t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/>
        </w:rPr>
        <w:t>（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zh-TW"/>
        </w:rPr>
        <w:t>）</w:t>
      </w:r>
      <w:r>
        <w:rPr>
          <w:rFonts w:hint="eastAsia" w:ascii="宋体" w:hAnsi="宋体" w:eastAsia="宋体" w:cs="宋体"/>
          <w:lang w:val="zh-TW" w:eastAsia="zh-TW"/>
        </w:rPr>
        <w:t>采购</w:t>
      </w:r>
      <w:r>
        <w:rPr>
          <w:rFonts w:hint="eastAsia" w:ascii="宋体" w:hAnsi="宋体" w:eastAsia="宋体" w:cs="宋体"/>
        </w:rPr>
        <w:t>单位</w:t>
      </w:r>
      <w:r>
        <w:rPr>
          <w:rFonts w:hint="eastAsia" w:ascii="宋体" w:hAnsi="宋体" w:eastAsia="宋体" w:cs="宋体"/>
          <w:lang w:val="zh-TW" w:eastAsia="zh-TW"/>
        </w:rPr>
        <w:t>联系电话：杨老师15368090913。</w:t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（</w:t>
      </w: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  <w:lang w:val="zh-TW" w:eastAsia="zh-TW"/>
        </w:rPr>
        <w:t>）招标代理联系电话：</w:t>
      </w:r>
      <w:r>
        <w:rPr>
          <w:rFonts w:hint="eastAsia" w:ascii="宋体" w:hAnsi="宋体" w:eastAsia="宋体" w:cs="宋体"/>
          <w:lang w:val="en-US" w:eastAsia="zh-CN"/>
        </w:rPr>
        <w:t>毛</w:t>
      </w:r>
      <w:r>
        <w:rPr>
          <w:rFonts w:hint="eastAsia" w:ascii="宋体" w:hAnsi="宋体" w:eastAsia="宋体" w:cs="宋体"/>
          <w:lang w:val="zh-TW" w:eastAsia="zh-TW"/>
        </w:rPr>
        <w:t>老师0871-68330090/1</w:t>
      </w:r>
      <w:r>
        <w:rPr>
          <w:rFonts w:hint="eastAsia" w:ascii="宋体" w:hAnsi="宋体" w:eastAsia="宋体" w:cs="宋体"/>
          <w:lang w:val="en-US" w:eastAsia="zh-CN"/>
        </w:rPr>
        <w:t>3888302269</w:t>
      </w:r>
      <w:r>
        <w:rPr>
          <w:rFonts w:hint="eastAsia" w:ascii="宋体" w:hAnsi="宋体" w:eastAsia="宋体" w:cs="宋体"/>
          <w:lang w:val="zh-TW" w:eastAsia="zh-TW"/>
        </w:rPr>
        <w:t>。</w:t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（</w:t>
      </w: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  <w:lang w:val="zh-TW" w:eastAsia="zh-TW"/>
        </w:rPr>
        <w:t>）</w:t>
      </w:r>
      <w:r>
        <w:rPr>
          <w:rFonts w:hint="eastAsia" w:ascii="宋体" w:hAnsi="宋体" w:eastAsia="宋体" w:cs="宋体"/>
        </w:rPr>
        <w:t>监审</w:t>
      </w:r>
      <w:r>
        <w:rPr>
          <w:rFonts w:hint="eastAsia" w:ascii="宋体" w:hAnsi="宋体" w:eastAsia="宋体" w:cs="宋体"/>
          <w:lang w:val="zh-TW" w:eastAsia="zh-TW"/>
        </w:rPr>
        <w:t>联系电话：</w:t>
      </w:r>
      <w:r>
        <w:rPr>
          <w:rFonts w:hint="eastAsia" w:ascii="宋体" w:hAnsi="宋体" w:eastAsia="宋体" w:cs="宋体"/>
          <w:lang w:val="en-US" w:eastAsia="zh-CN"/>
        </w:rPr>
        <w:t>王</w:t>
      </w:r>
      <w:r>
        <w:rPr>
          <w:rFonts w:hint="eastAsia" w:ascii="宋体" w:hAnsi="宋体" w:eastAsia="宋体" w:cs="宋体"/>
          <w:lang w:val="zh-TW" w:eastAsia="zh-TW"/>
        </w:rPr>
        <w:t>老师</w:t>
      </w:r>
      <w:r>
        <w:rPr>
          <w:rFonts w:hint="eastAsia" w:ascii="宋体" w:hAnsi="宋体" w:eastAsia="宋体" w:cs="宋体"/>
        </w:rPr>
        <w:t>13888969813</w:t>
      </w:r>
      <w:r>
        <w:rPr>
          <w:rFonts w:hint="eastAsia" w:ascii="宋体" w:hAnsi="宋体" w:eastAsia="宋体" w:cs="宋体"/>
          <w:lang w:val="zh-TW" w:eastAsia="zh-TW"/>
        </w:rPr>
        <w:t>。</w:t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lang w:val="zh-TW" w:eastAsia="zh-TW"/>
        </w:rPr>
      </w:pPr>
    </w:p>
    <w:p>
      <w:pPr>
        <w:spacing w:line="400" w:lineRule="exact"/>
        <w:ind w:firstLine="420" w:firstLineChars="200"/>
        <w:rPr>
          <w:rFonts w:ascii="宋体" w:hAnsi="宋体" w:eastAsia="宋体" w:cs="宋体"/>
          <w:lang w:val="zh-TW" w:eastAsia="zh-TW"/>
        </w:rPr>
      </w:pPr>
    </w:p>
    <w:p>
      <w:pPr>
        <w:wordWrap w:val="0"/>
        <w:spacing w:line="400" w:lineRule="exact"/>
        <w:ind w:firstLine="420" w:firstLineChars="200"/>
        <w:jc w:val="righ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采购单位：云南</w:t>
      </w:r>
      <w:r>
        <w:rPr>
          <w:rFonts w:hint="eastAsia" w:ascii="宋体" w:hAnsi="宋体" w:eastAsia="宋体" w:cs="宋体"/>
          <w:lang w:val="en-US" w:eastAsia="zh-CN"/>
        </w:rPr>
        <w:t>医药健康职业学院</w:t>
      </w:r>
    </w:p>
    <w:p>
      <w:pPr>
        <w:spacing w:line="400" w:lineRule="exact"/>
        <w:ind w:firstLine="420" w:firstLineChars="200"/>
        <w:jc w:val="right"/>
        <w:rPr>
          <w:rFonts w:ascii="宋体" w:hAnsi="宋体" w:eastAsia="宋体" w:cs="宋体"/>
          <w:lang w:val="zh-TW"/>
        </w:rPr>
      </w:pPr>
      <w:r>
        <w:rPr>
          <w:rFonts w:hint="eastAsia" w:ascii="宋体" w:hAnsi="宋体" w:eastAsia="宋体" w:cs="宋体"/>
          <w:lang w:val="zh-TW" w:eastAsia="zh-TW"/>
        </w:rPr>
        <w:t>招标代理</w:t>
      </w:r>
      <w:r>
        <w:rPr>
          <w:rFonts w:ascii="宋体" w:hAnsi="宋体" w:eastAsia="宋体" w:cs="宋体"/>
          <w:lang w:val="zh-TW" w:eastAsia="zh-TW"/>
        </w:rPr>
        <w:t>机构：云南景通招标代理有限公司</w:t>
      </w:r>
    </w:p>
    <w:p>
      <w:pPr>
        <w:wordWrap w:val="0"/>
        <w:spacing w:line="400" w:lineRule="exact"/>
        <w:ind w:firstLine="420" w:firstLineChars="200"/>
        <w:jc w:val="center"/>
        <w:rPr>
          <w:rFonts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</w:rPr>
        <w:t xml:space="preserve">                                              </w:t>
      </w:r>
      <w:r>
        <w:rPr>
          <w:rFonts w:hint="eastAsia" w:ascii="宋体" w:hAnsi="宋体" w:eastAsia="宋体" w:cs="宋体"/>
          <w:lang w:val="en-US" w:eastAsia="zh-CN"/>
        </w:rPr>
        <w:t xml:space="preserve">       </w:t>
      </w:r>
      <w:r>
        <w:rPr>
          <w:rFonts w:hint="eastAsia" w:ascii="宋体" w:hAnsi="宋体" w:eastAsia="宋体" w:cs="宋体"/>
        </w:rPr>
        <w:t>2024</w:t>
      </w:r>
      <w:r>
        <w:rPr>
          <w:rFonts w:hint="eastAsia" w:ascii="宋体" w:hAnsi="宋体" w:eastAsia="宋体" w:cs="宋体"/>
          <w:lang w:val="zh-TW" w:eastAsia="zh-TW"/>
        </w:rPr>
        <w:t>年</w:t>
      </w:r>
      <w:r>
        <w:rPr>
          <w:rFonts w:hint="eastAsia" w:ascii="宋体" w:hAnsi="宋体" w:eastAsia="宋体" w:cs="宋体"/>
          <w:lang w:val="en-US" w:eastAsia="zh-CN"/>
        </w:rPr>
        <w:t>12</w:t>
      </w:r>
      <w:r>
        <w:rPr>
          <w:rFonts w:hint="eastAsia" w:ascii="宋体" w:hAnsi="宋体" w:eastAsia="宋体" w:cs="宋体"/>
          <w:lang w:val="zh-TW" w:eastAsia="zh-TW"/>
        </w:rPr>
        <w:t>月</w:t>
      </w:r>
      <w:r>
        <w:rPr>
          <w:rFonts w:hint="eastAsia" w:ascii="宋体" w:hAnsi="宋体" w:eastAsia="宋体" w:cs="宋体"/>
          <w:lang w:val="en-US" w:eastAsia="zh-CN"/>
        </w:rPr>
        <w:t>6</w:t>
      </w:r>
      <w:r>
        <w:rPr>
          <w:rFonts w:hint="eastAsia" w:ascii="宋体" w:hAnsi="宋体" w:eastAsia="宋体" w:cs="宋体"/>
          <w:lang w:val="zh-TW" w:eastAsia="zh-TW"/>
        </w:rPr>
        <w:t>日</w:t>
      </w:r>
    </w:p>
    <w:p>
      <w:pPr>
        <w:wordWrap w:val="0"/>
        <w:spacing w:line="360" w:lineRule="auto"/>
        <w:jc w:val="both"/>
        <w:rPr>
          <w:rFonts w:ascii="宋体" w:hAnsi="宋体" w:eastAsia="宋体" w:cs="宋体"/>
          <w:lang w:val="zh-TW" w:eastAsia="zh-TW"/>
        </w:rPr>
      </w:pPr>
    </w:p>
    <w:sectPr>
      <w:footerReference r:id="rId3" w:type="default"/>
      <w:pgSz w:w="11900" w:h="16840"/>
      <w:pgMar w:top="1417" w:right="1246" w:bottom="1134" w:left="1246" w:header="850" w:footer="99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W411I9AAAAAF&#10;AQAADwAAAAAAAAABACAAAAAiAAAAZHJzL2Rvd25yZXYueG1sUEsBAhQAFAAAAAgAh07iQC4cQEQk&#10;AgAALgQAAA4AAAAAAAAAAQAgAAAAHwEAAGRycy9lMm9Eb2MueG1sUEsFBgAAAAAGAAYAWQEAALUF&#10;AAAAAA==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D30F9"/>
    <w:multiLevelType w:val="multilevel"/>
    <w:tmpl w:val="268D30F9"/>
    <w:lvl w:ilvl="0" w:tentative="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D979F0F"/>
    <w:multiLevelType w:val="singleLevel"/>
    <w:tmpl w:val="5D979F0F"/>
    <w:lvl w:ilvl="0" w:tentative="0">
      <w:start w:val="1"/>
      <w:numFmt w:val="chineseCounting"/>
      <w:suff w:val="nothing"/>
      <w:lvlText w:val="%1、"/>
      <w:lvlJc w:val="left"/>
      <w:pPr>
        <w:ind w:left="421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autoHyphenation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3829FA"/>
    <w:rsid w:val="000945E0"/>
    <w:rsid w:val="00103E7B"/>
    <w:rsid w:val="00150DA0"/>
    <w:rsid w:val="00185A58"/>
    <w:rsid w:val="001B19B0"/>
    <w:rsid w:val="0022743E"/>
    <w:rsid w:val="00230A82"/>
    <w:rsid w:val="002350F4"/>
    <w:rsid w:val="00284306"/>
    <w:rsid w:val="002A2D09"/>
    <w:rsid w:val="003829FA"/>
    <w:rsid w:val="003D1281"/>
    <w:rsid w:val="00423F6C"/>
    <w:rsid w:val="00465898"/>
    <w:rsid w:val="00475304"/>
    <w:rsid w:val="004C11F3"/>
    <w:rsid w:val="0065267D"/>
    <w:rsid w:val="00706D5D"/>
    <w:rsid w:val="007B4184"/>
    <w:rsid w:val="00934C0F"/>
    <w:rsid w:val="00953B47"/>
    <w:rsid w:val="00B0167F"/>
    <w:rsid w:val="00B378DD"/>
    <w:rsid w:val="00B55DB3"/>
    <w:rsid w:val="00B701B7"/>
    <w:rsid w:val="00B976F6"/>
    <w:rsid w:val="00BD271C"/>
    <w:rsid w:val="00BE3829"/>
    <w:rsid w:val="00CA3123"/>
    <w:rsid w:val="00CD737D"/>
    <w:rsid w:val="00D451BD"/>
    <w:rsid w:val="00E773E1"/>
    <w:rsid w:val="00E80720"/>
    <w:rsid w:val="01916C5A"/>
    <w:rsid w:val="01AC45A7"/>
    <w:rsid w:val="01E65CA9"/>
    <w:rsid w:val="04A22F2C"/>
    <w:rsid w:val="05DA2E36"/>
    <w:rsid w:val="05EC26B0"/>
    <w:rsid w:val="061B4D44"/>
    <w:rsid w:val="06B81D95"/>
    <w:rsid w:val="06CC4290"/>
    <w:rsid w:val="0721638A"/>
    <w:rsid w:val="07AB012E"/>
    <w:rsid w:val="07D16002"/>
    <w:rsid w:val="084F33CB"/>
    <w:rsid w:val="08964D2B"/>
    <w:rsid w:val="089963F4"/>
    <w:rsid w:val="09306D58"/>
    <w:rsid w:val="098826F0"/>
    <w:rsid w:val="098D1FCD"/>
    <w:rsid w:val="09E85450"/>
    <w:rsid w:val="0AC67734"/>
    <w:rsid w:val="0ADF5F23"/>
    <w:rsid w:val="0AFB13A8"/>
    <w:rsid w:val="0CFC1C88"/>
    <w:rsid w:val="0DCA0182"/>
    <w:rsid w:val="0E627CE7"/>
    <w:rsid w:val="0FB00182"/>
    <w:rsid w:val="101C3AC9"/>
    <w:rsid w:val="103B0861"/>
    <w:rsid w:val="109C1B7D"/>
    <w:rsid w:val="10FD7403"/>
    <w:rsid w:val="11290C5D"/>
    <w:rsid w:val="11F506C6"/>
    <w:rsid w:val="12137217"/>
    <w:rsid w:val="121A67F7"/>
    <w:rsid w:val="12716D9B"/>
    <w:rsid w:val="12B677C2"/>
    <w:rsid w:val="130A17ED"/>
    <w:rsid w:val="131119A8"/>
    <w:rsid w:val="13D84274"/>
    <w:rsid w:val="147B66BC"/>
    <w:rsid w:val="14F53595"/>
    <w:rsid w:val="151B304B"/>
    <w:rsid w:val="16DF591A"/>
    <w:rsid w:val="176D1177"/>
    <w:rsid w:val="186407CC"/>
    <w:rsid w:val="193373FD"/>
    <w:rsid w:val="19692726"/>
    <w:rsid w:val="1B920ECC"/>
    <w:rsid w:val="1C4F3541"/>
    <w:rsid w:val="1CFB4B98"/>
    <w:rsid w:val="1D444728"/>
    <w:rsid w:val="1DD74DE5"/>
    <w:rsid w:val="1E0067ED"/>
    <w:rsid w:val="1E8C54A8"/>
    <w:rsid w:val="1EA96F39"/>
    <w:rsid w:val="1EC879EB"/>
    <w:rsid w:val="1ED815CC"/>
    <w:rsid w:val="1F587D1E"/>
    <w:rsid w:val="1F6966C8"/>
    <w:rsid w:val="20671A1A"/>
    <w:rsid w:val="208A4B48"/>
    <w:rsid w:val="20B967E2"/>
    <w:rsid w:val="21091F11"/>
    <w:rsid w:val="2112269A"/>
    <w:rsid w:val="216A316F"/>
    <w:rsid w:val="22034BB2"/>
    <w:rsid w:val="22041389"/>
    <w:rsid w:val="224F1BA5"/>
    <w:rsid w:val="22C307F5"/>
    <w:rsid w:val="233414D0"/>
    <w:rsid w:val="234E4553"/>
    <w:rsid w:val="23945594"/>
    <w:rsid w:val="23A93537"/>
    <w:rsid w:val="252D1DA1"/>
    <w:rsid w:val="25461B81"/>
    <w:rsid w:val="25737F81"/>
    <w:rsid w:val="2680190E"/>
    <w:rsid w:val="26A500BB"/>
    <w:rsid w:val="28012E1E"/>
    <w:rsid w:val="28234CE7"/>
    <w:rsid w:val="29A46C7B"/>
    <w:rsid w:val="2A453F1C"/>
    <w:rsid w:val="2A477CE9"/>
    <w:rsid w:val="2C83552E"/>
    <w:rsid w:val="2C8A00B1"/>
    <w:rsid w:val="2E33681F"/>
    <w:rsid w:val="30395C43"/>
    <w:rsid w:val="303B7C0D"/>
    <w:rsid w:val="306C7DC6"/>
    <w:rsid w:val="30A24BC5"/>
    <w:rsid w:val="31D837D6"/>
    <w:rsid w:val="31EB48ED"/>
    <w:rsid w:val="32C4213C"/>
    <w:rsid w:val="33993C89"/>
    <w:rsid w:val="34321327"/>
    <w:rsid w:val="344F012B"/>
    <w:rsid w:val="34671C20"/>
    <w:rsid w:val="34E73CF4"/>
    <w:rsid w:val="35BD4200"/>
    <w:rsid w:val="37E10C18"/>
    <w:rsid w:val="38D330D8"/>
    <w:rsid w:val="390519D8"/>
    <w:rsid w:val="39663F4D"/>
    <w:rsid w:val="39BC591B"/>
    <w:rsid w:val="3ADC741E"/>
    <w:rsid w:val="3AF917A7"/>
    <w:rsid w:val="3B404329"/>
    <w:rsid w:val="3BE178BA"/>
    <w:rsid w:val="3C180B66"/>
    <w:rsid w:val="3C68259C"/>
    <w:rsid w:val="3D23796D"/>
    <w:rsid w:val="3E774506"/>
    <w:rsid w:val="3E7C38CA"/>
    <w:rsid w:val="3EB71A24"/>
    <w:rsid w:val="3ED24D5F"/>
    <w:rsid w:val="41177CBE"/>
    <w:rsid w:val="415D1F4B"/>
    <w:rsid w:val="419B52B3"/>
    <w:rsid w:val="41F1637D"/>
    <w:rsid w:val="44062F6B"/>
    <w:rsid w:val="461F5BAF"/>
    <w:rsid w:val="47845921"/>
    <w:rsid w:val="480F7EF4"/>
    <w:rsid w:val="48220665"/>
    <w:rsid w:val="482C010F"/>
    <w:rsid w:val="48AB2CA2"/>
    <w:rsid w:val="49A91E85"/>
    <w:rsid w:val="4A3459A1"/>
    <w:rsid w:val="4B90505B"/>
    <w:rsid w:val="4C5B5709"/>
    <w:rsid w:val="4C6662F6"/>
    <w:rsid w:val="4C7E68FD"/>
    <w:rsid w:val="4C820C46"/>
    <w:rsid w:val="4D3919C1"/>
    <w:rsid w:val="4E720846"/>
    <w:rsid w:val="4E9E163B"/>
    <w:rsid w:val="4F8627FB"/>
    <w:rsid w:val="504F7091"/>
    <w:rsid w:val="50642410"/>
    <w:rsid w:val="513B5887"/>
    <w:rsid w:val="51951D61"/>
    <w:rsid w:val="52AF02BB"/>
    <w:rsid w:val="52FB52AE"/>
    <w:rsid w:val="55211CC3"/>
    <w:rsid w:val="5555648E"/>
    <w:rsid w:val="55782D35"/>
    <w:rsid w:val="57574A7D"/>
    <w:rsid w:val="58164551"/>
    <w:rsid w:val="594F3C5E"/>
    <w:rsid w:val="5A193B3B"/>
    <w:rsid w:val="5AE35282"/>
    <w:rsid w:val="5BBD65B1"/>
    <w:rsid w:val="5C7E7952"/>
    <w:rsid w:val="5D264E20"/>
    <w:rsid w:val="5DBB0B1A"/>
    <w:rsid w:val="5E77028A"/>
    <w:rsid w:val="5E7D669A"/>
    <w:rsid w:val="5ECE3876"/>
    <w:rsid w:val="612C2AD6"/>
    <w:rsid w:val="61C84EF5"/>
    <w:rsid w:val="639257BA"/>
    <w:rsid w:val="659A641A"/>
    <w:rsid w:val="66C73564"/>
    <w:rsid w:val="66C840F2"/>
    <w:rsid w:val="677D322F"/>
    <w:rsid w:val="678A786E"/>
    <w:rsid w:val="67A6321C"/>
    <w:rsid w:val="6830673C"/>
    <w:rsid w:val="69E04BB7"/>
    <w:rsid w:val="6A0C56F6"/>
    <w:rsid w:val="6A0E1913"/>
    <w:rsid w:val="6AAF1314"/>
    <w:rsid w:val="6B1747F7"/>
    <w:rsid w:val="6C621AA2"/>
    <w:rsid w:val="6CAB36D8"/>
    <w:rsid w:val="6D1C7DDB"/>
    <w:rsid w:val="6D925061"/>
    <w:rsid w:val="6EFB3918"/>
    <w:rsid w:val="70952EC6"/>
    <w:rsid w:val="709C13CF"/>
    <w:rsid w:val="70EE1E97"/>
    <w:rsid w:val="70F87C62"/>
    <w:rsid w:val="710F0089"/>
    <w:rsid w:val="71502811"/>
    <w:rsid w:val="7317621E"/>
    <w:rsid w:val="74A54C22"/>
    <w:rsid w:val="752217B8"/>
    <w:rsid w:val="772C065B"/>
    <w:rsid w:val="7730111A"/>
    <w:rsid w:val="775D6EE5"/>
    <w:rsid w:val="77F9150C"/>
    <w:rsid w:val="791D1B70"/>
    <w:rsid w:val="7927654D"/>
    <w:rsid w:val="7A4D3D91"/>
    <w:rsid w:val="7AC810FF"/>
    <w:rsid w:val="7B152B01"/>
    <w:rsid w:val="7B607AF4"/>
    <w:rsid w:val="7BD306CB"/>
    <w:rsid w:val="7BFFE9C9"/>
    <w:rsid w:val="7C756885"/>
    <w:rsid w:val="7C8C34F8"/>
    <w:rsid w:val="7CEF2EDE"/>
    <w:rsid w:val="7F992A18"/>
    <w:rsid w:val="DFBA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pageBreakBefore/>
      <w:spacing w:before="120" w:after="120" w:line="460" w:lineRule="exact"/>
      <w:ind w:firstLine="567"/>
      <w:jc w:val="center"/>
      <w:outlineLvl w:val="0"/>
    </w:pPr>
    <w:rPr>
      <w:rFonts w:ascii="黑体" w:eastAsia="黑体"/>
      <w:kern w:val="44"/>
      <w:sz w:val="24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hAnsi="Courier New"/>
      <w:szCs w:val="20"/>
    </w:rPr>
  </w:style>
  <w:style w:type="paragraph" w:styleId="4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rFonts w:ascii="Calibri" w:hAnsi="Calibri" w:eastAsia="Calibri" w:cs="Calibri"/>
      <w:sz w:val="24"/>
      <w:szCs w:val="24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宋体" w:hAnsi="宋体"/>
      <w:b/>
      <w:kern w:val="0"/>
      <w:sz w:val="36"/>
      <w:szCs w:val="36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u w:val="single"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table" w:customStyle="1" w:styleId="1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页眉与页脚"/>
    <w:qFormat/>
    <w:uiPriority w:val="0"/>
    <w:pP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7">
    <w:name w:val="默认"/>
    <w:qFormat/>
    <w:uiPriority w:val="0"/>
    <w:rPr>
      <w:rFonts w:hint="eastAsia" w:ascii="Arial Unicode MS" w:hAnsi="Arial Unicode MS" w:eastAsia="Helvetica" w:cs="Arial Unicode MS"/>
      <w:color w:val="000000"/>
      <w:sz w:val="22"/>
      <w:szCs w:val="22"/>
      <w:lang w:val="zh-TW" w:eastAsia="zh-TW" w:bidi="ar-SA"/>
    </w:rPr>
  </w:style>
  <w:style w:type="character" w:customStyle="1" w:styleId="18">
    <w:name w:val="页眉 字符"/>
    <w:basedOn w:val="11"/>
    <w:link w:val="6"/>
    <w:qFormat/>
    <w:uiPriority w:val="99"/>
    <w:rPr>
      <w:rFonts w:ascii="等线" w:hAnsi="等线" w:eastAsia="等线" w:cs="等线"/>
      <w:color w:val="000000"/>
      <w:kern w:val="2"/>
      <w:sz w:val="18"/>
      <w:szCs w:val="18"/>
      <w:u w:color="000000"/>
    </w:rPr>
  </w:style>
  <w:style w:type="character" w:customStyle="1" w:styleId="19">
    <w:name w:val="页脚 字符"/>
    <w:basedOn w:val="11"/>
    <w:link w:val="5"/>
    <w:qFormat/>
    <w:uiPriority w:val="99"/>
    <w:rPr>
      <w:rFonts w:ascii="等线" w:hAnsi="等线" w:eastAsia="等线" w:cs="等线"/>
      <w:color w:val="000000"/>
      <w:kern w:val="2"/>
      <w:sz w:val="18"/>
      <w:szCs w:val="18"/>
      <w:u w:color="000000"/>
    </w:rPr>
  </w:style>
  <w:style w:type="character" w:customStyle="1" w:styleId="20">
    <w:name w:val="font41"/>
    <w:basedOn w:val="11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批注框文本 字符"/>
    <w:basedOn w:val="11"/>
    <w:link w:val="4"/>
    <w:semiHidden/>
    <w:qFormat/>
    <w:uiPriority w:val="99"/>
    <w:rPr>
      <w:rFonts w:ascii="等线" w:hAnsi="等线" w:eastAsia="等线" w:cs="等线"/>
      <w:color w:val="000000"/>
      <w:kern w:val="2"/>
      <w:sz w:val="18"/>
      <w:szCs w:val="18"/>
      <w:u w:color="000000"/>
    </w:rPr>
  </w:style>
  <w:style w:type="character" w:customStyle="1" w:styleId="23">
    <w:name w:val="font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5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file:///C:\Users\ThinkPad\AppData\Local\Temp\ksohtml\clip_image9.png" TargetMode="External"/><Relationship Id="rId8" Type="http://schemas.openxmlformats.org/officeDocument/2006/relationships/image" Target="file:///C:\Users\ThinkPad\AppData\Local\Temp\ksohtml\clip_image8.png" TargetMode="External"/><Relationship Id="rId7" Type="http://schemas.openxmlformats.org/officeDocument/2006/relationships/image" Target="file:///C:\Users\ThinkPad\AppData\Local\Temp\ksohtml\clip_image7.png" TargetMode="External"/><Relationship Id="rId6" Type="http://schemas.openxmlformats.org/officeDocument/2006/relationships/image" Target="file:///C:\Users\ThinkPad\AppData\Local\Temp\ksohtml\clip_image6.png" TargetMode="External"/><Relationship Id="rId5" Type="http://schemas.openxmlformats.org/officeDocument/2006/relationships/image" Target="file:///C:\Users\ThinkPad\AppData\Local\Temp\ksohtml\clip_image4.png" TargetMode="External"/><Relationship Id="rId4" Type="http://schemas.openxmlformats.org/officeDocument/2006/relationships/theme" Target="theme/theme1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customXml" Target="../customXml/item1.xml"/><Relationship Id="rId31" Type="http://schemas.openxmlformats.org/officeDocument/2006/relationships/image" Target="file:///C:\Users\ThinkPad\AppData\Local\Temp\ksohtml\clip_image28.png" TargetMode="External"/><Relationship Id="rId30" Type="http://schemas.openxmlformats.org/officeDocument/2006/relationships/image" Target="file:///C:\Users\ThinkPad\AppData\Local\Temp\ksohtml\clip_image27.png" TargetMode="External"/><Relationship Id="rId3" Type="http://schemas.openxmlformats.org/officeDocument/2006/relationships/footer" Target="footer1.xml"/><Relationship Id="rId29" Type="http://schemas.openxmlformats.org/officeDocument/2006/relationships/image" Target="file:///C:\Users\ThinkPad\AppData\Local\Temp\ksohtml\clip_image29.png" TargetMode="External"/><Relationship Id="rId28" Type="http://schemas.openxmlformats.org/officeDocument/2006/relationships/image" Target="file:///C:\Users\ThinkPad\AppData\Local\Temp\ksohtml\clip_image30.png" TargetMode="External"/><Relationship Id="rId27" Type="http://schemas.openxmlformats.org/officeDocument/2006/relationships/image" Target="file:///C:\Users\ThinkPad\AppData\Local\Temp\ksohtml\clip_image26.png" TargetMode="External"/><Relationship Id="rId26" Type="http://schemas.openxmlformats.org/officeDocument/2006/relationships/image" Target="file:///C:\Users\ThinkPad\AppData\Local\Temp\ksohtml\clip_image25.png" TargetMode="External"/><Relationship Id="rId25" Type="http://schemas.openxmlformats.org/officeDocument/2006/relationships/image" Target="file:///C:\Users\ThinkPad\AppData\Local\Temp\ksohtml\clip_image24.png" TargetMode="External"/><Relationship Id="rId24" Type="http://schemas.openxmlformats.org/officeDocument/2006/relationships/image" Target="file:///C:\Users\ThinkPad\AppData\Local\Temp\ksohtml\clip_image23.png" TargetMode="External"/><Relationship Id="rId23" Type="http://schemas.openxmlformats.org/officeDocument/2006/relationships/image" Target="file:///C:\Users\ThinkPad\AppData\Local\Temp\ksohtml\clip_image22.png" TargetMode="External"/><Relationship Id="rId22" Type="http://schemas.openxmlformats.org/officeDocument/2006/relationships/image" Target="file:///C:\Users\ThinkPad\AppData\Local\Temp\ksohtml\clip_image21.png" TargetMode="External"/><Relationship Id="rId21" Type="http://schemas.openxmlformats.org/officeDocument/2006/relationships/image" Target="file:///C:\Users\ThinkPad\AppData\Local\Temp\ksohtml\clip_image20.png" TargetMode="External"/><Relationship Id="rId20" Type="http://schemas.openxmlformats.org/officeDocument/2006/relationships/image" Target="file:///C:\Users\ThinkPad\AppData\Local\Temp\ksohtml\clip_image31.png" TargetMode="External"/><Relationship Id="rId2" Type="http://schemas.openxmlformats.org/officeDocument/2006/relationships/settings" Target="settings.xml"/><Relationship Id="rId19" Type="http://schemas.openxmlformats.org/officeDocument/2006/relationships/image" Target="file:///C:\Users\ThinkPad\AppData\Local\Temp\ksohtml\clip_image19.png" TargetMode="External"/><Relationship Id="rId18" Type="http://schemas.openxmlformats.org/officeDocument/2006/relationships/image" Target="file:///C:\Users\ThinkPad\AppData\Local\Temp\ksohtml\clip_image18.png" TargetMode="External"/><Relationship Id="rId17" Type="http://schemas.openxmlformats.org/officeDocument/2006/relationships/image" Target="file:///C:\Users\ThinkPad\AppData\Local\Temp\ksohtml\clip_image17.png" TargetMode="External"/><Relationship Id="rId16" Type="http://schemas.openxmlformats.org/officeDocument/2006/relationships/image" Target="file:///C:\Users\ThinkPad\AppData\Local\Temp\ksohtml\clip_image16.png" TargetMode="External"/><Relationship Id="rId15" Type="http://schemas.openxmlformats.org/officeDocument/2006/relationships/image" Target="file:///C:\Users\ThinkPad\AppData\Local\Temp\ksohtml\clip_image15.png" TargetMode="External"/><Relationship Id="rId14" Type="http://schemas.openxmlformats.org/officeDocument/2006/relationships/image" Target="file:///C:\Users\ThinkPad\AppData\Local\Temp\ksohtml\clip_image14.png" TargetMode="External"/><Relationship Id="rId13" Type="http://schemas.openxmlformats.org/officeDocument/2006/relationships/image" Target="file:///C:\Users\ThinkPad\AppData\Local\Temp\ksohtml\clip_image13.png" TargetMode="External"/><Relationship Id="rId12" Type="http://schemas.openxmlformats.org/officeDocument/2006/relationships/image" Target="file:///C:\Users\ThinkPad\AppData\Local\Temp\ksohtml\clip_image12.png" TargetMode="External"/><Relationship Id="rId11" Type="http://schemas.openxmlformats.org/officeDocument/2006/relationships/image" Target="file:///C:\Users\ThinkPad\AppData\Local\Temp\ksohtml\clip_image11.png" TargetMode="External"/><Relationship Id="rId10" Type="http://schemas.openxmlformats.org/officeDocument/2006/relationships/image" Target="file:///C:\Users\ThinkPad\AppData\Local\Temp\ksohtml\clip_image10.pn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689</Words>
  <Characters>3930</Characters>
  <Lines>32</Lines>
  <Paragraphs>9</Paragraphs>
  <TotalTime>53</TotalTime>
  <ScaleCrop>false</ScaleCrop>
  <LinksUpToDate>false</LinksUpToDate>
  <CharactersWithSpaces>4610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2024-09-10T07:27:00Z</dcterms:created>
  <dc:creator>wangjianjun</dc:creator>
  <cp:lastModifiedBy>毛金</cp:lastModifiedBy>
  <cp:lastPrinted>2024-12-06T08:31:50Z</cp:lastPrinted>
  <dcterms:modified xsi:type="dcterms:W3CDTF">2024-12-06T08:33:03Z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1BE503F1EA424ABAAE812C71AE3AC6FD_13</vt:lpwstr>
  </property>
</Properties>
</file>