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90DF2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云南医药健康职业学院医学美容营养理实一体化实验室</w:t>
      </w:r>
    </w:p>
    <w:p w14:paraId="5B230EC6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采购竞争性谈判文件</w:t>
      </w:r>
    </w:p>
    <w:p w14:paraId="504B4C2E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zh-TW" w:eastAsia="zh-TW"/>
        </w:rPr>
      </w:pPr>
    </w:p>
    <w:p w14:paraId="39B65319">
      <w:pPr>
        <w:spacing w:line="460" w:lineRule="exact"/>
        <w:ind w:firstLine="42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 w14:paraId="49785DE1">
      <w:pPr>
        <w:numPr>
          <w:ilvl w:val="0"/>
          <w:numId w:val="1"/>
        </w:numPr>
        <w:spacing w:line="460" w:lineRule="exact"/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10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96"/>
        <w:gridCol w:w="5532"/>
        <w:gridCol w:w="732"/>
        <w:gridCol w:w="756"/>
        <w:gridCol w:w="1187"/>
      </w:tblGrid>
      <w:tr w14:paraId="1309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A22789A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696" w:type="dxa"/>
            <w:vAlign w:val="center"/>
          </w:tcPr>
          <w:p w14:paraId="4779894E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5532" w:type="dxa"/>
            <w:vAlign w:val="top"/>
          </w:tcPr>
          <w:p w14:paraId="0980B4D8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参数</w:t>
            </w:r>
          </w:p>
        </w:tc>
        <w:tc>
          <w:tcPr>
            <w:tcW w:w="732" w:type="dxa"/>
            <w:vAlign w:val="center"/>
          </w:tcPr>
          <w:p w14:paraId="115117D7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756" w:type="dxa"/>
            <w:vAlign w:val="center"/>
          </w:tcPr>
          <w:p w14:paraId="10E8159C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单价</w:t>
            </w:r>
          </w:p>
        </w:tc>
        <w:tc>
          <w:tcPr>
            <w:tcW w:w="1187" w:type="dxa"/>
            <w:vAlign w:val="top"/>
          </w:tcPr>
          <w:p w14:paraId="463D4096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合计</w:t>
            </w:r>
          </w:p>
        </w:tc>
      </w:tr>
      <w:tr w14:paraId="703F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3E150BD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96" w:type="dxa"/>
            <w:vAlign w:val="center"/>
          </w:tcPr>
          <w:p w14:paraId="35E338E7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皮肤管理综合仪器</w:t>
            </w:r>
          </w:p>
        </w:tc>
        <w:tc>
          <w:tcPr>
            <w:tcW w:w="5532" w:type="dxa"/>
            <w:vAlign w:val="bottom"/>
          </w:tcPr>
          <w:p w14:paraId="3BA3EB0B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一、规格要求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主机包装尺寸不小于一定规格（如520*410*410，或相近合理尺寸），底座尺寸（含）不小于约700*480*320（或相近合理尺寸），确保仪器整体结构稳定、便于放置。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屏幕尺寸不小于10寸，方便操作与查看信息。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二、性能参数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适用频率为50HZ，电压220V，满足常规用电需求。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具备输出控制功能，可通过触摸屏幕和手柄进行调节，操作方式灵活。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三、功能要求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为多功能综合仪器，能够实现深层清洁皮肤，将营养有效导入皮肤，具备注入氧气、冰镇褪红、美白亮肤、全面部提升紧致等功能，满足皮肤管理的多种需求。</w:t>
            </w:r>
          </w:p>
        </w:tc>
        <w:tc>
          <w:tcPr>
            <w:tcW w:w="732" w:type="dxa"/>
            <w:vAlign w:val="center"/>
          </w:tcPr>
          <w:p w14:paraId="4E80F645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56" w:type="dxa"/>
            <w:vAlign w:val="center"/>
          </w:tcPr>
          <w:p w14:paraId="3650CE5E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4097DC13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6ED4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0B3814B9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696" w:type="dxa"/>
            <w:vAlign w:val="center"/>
          </w:tcPr>
          <w:p w14:paraId="017FB4BC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气泡清洁仪</w:t>
            </w:r>
          </w:p>
        </w:tc>
        <w:tc>
          <w:tcPr>
            <w:tcW w:w="5532" w:type="dxa"/>
            <w:vAlign w:val="bottom"/>
          </w:tcPr>
          <w:p w14:paraId="710E363E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一、功能要求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配备清洁导入笔，实现对皮肤的清洁和营养成分的导入。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支持冷热导入功能，辅助皮肤吸收营养和舒缓肌肤。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具备注氧功能，为皮肤补充氧气，改善皮肤活力。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二、电源参数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 100 - 240 的宽电压范围，适应不同地区的供电环境。</w:t>
            </w:r>
          </w:p>
        </w:tc>
        <w:tc>
          <w:tcPr>
            <w:tcW w:w="732" w:type="dxa"/>
            <w:vAlign w:val="center"/>
          </w:tcPr>
          <w:p w14:paraId="04F847AC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756" w:type="dxa"/>
            <w:vAlign w:val="center"/>
          </w:tcPr>
          <w:p w14:paraId="7F7B8102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4E84EB91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13C1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3225FFC8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696" w:type="dxa"/>
            <w:vAlign w:val="center"/>
          </w:tcPr>
          <w:p w14:paraId="76D27425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分层抗衰仪</w:t>
            </w:r>
          </w:p>
        </w:tc>
        <w:tc>
          <w:tcPr>
            <w:tcW w:w="5532" w:type="dxa"/>
            <w:vAlign w:val="bottom"/>
          </w:tcPr>
          <w:p w14:paraId="740FC38F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一、功能要求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具备浅层导入、中层导入以及能量聚焦深层导入功能，满足不同层次皮肤护理需求。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能够实现对皮肤不同层次的营养物质导入，促进皮肤吸收。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二、功效要求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支持肌龄管理，可精准定位皮肤问题，实现分层养护。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能够根据不同年龄阶段的皮肤特点，进行分龄定制护理方案。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对人体面部、颈部能进行综合性提升紧致操作，有效激活胶原蛋白再生，达到定向延缓和解决皮肤衰老问题的效果。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三、工作参数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工作电压范围在 110 - 240，适用于多种供电环境。</w:t>
            </w:r>
          </w:p>
        </w:tc>
        <w:tc>
          <w:tcPr>
            <w:tcW w:w="732" w:type="dxa"/>
            <w:vAlign w:val="center"/>
          </w:tcPr>
          <w:p w14:paraId="2868D6F0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56" w:type="dxa"/>
            <w:vAlign w:val="center"/>
          </w:tcPr>
          <w:p w14:paraId="7576229F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544F485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3CB3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3210AEF5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696" w:type="dxa"/>
            <w:vAlign w:val="center"/>
          </w:tcPr>
          <w:p w14:paraId="4514CB30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热能高周波塑形美体仪</w:t>
            </w:r>
          </w:p>
        </w:tc>
        <w:tc>
          <w:tcPr>
            <w:tcW w:w="5532" w:type="dxa"/>
            <w:vAlign w:val="bottom"/>
          </w:tcPr>
          <w:p w14:paraId="799F9349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一、功能要求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具备负压疏导功能，借助负压对操作部位进行护理。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拥有热能疏导功能，通过热能实现对身体的护理作用。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二、功效要求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能够对操作部位实施按摩疏导，促进血液循环、放松肌肉。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可实现身体深部透热，提升身体新陈代谢等机能。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能够帮助塑造形体，满足用户塑形需求。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三、工作参数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工作电压在 100 - 240 之间，适应多种供电环境。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显示屏尺寸不小于 8 寸，方便操作人员查看和设置参数。</w:t>
            </w:r>
          </w:p>
        </w:tc>
        <w:tc>
          <w:tcPr>
            <w:tcW w:w="732" w:type="dxa"/>
            <w:vAlign w:val="center"/>
          </w:tcPr>
          <w:p w14:paraId="1DF90EAB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756" w:type="dxa"/>
            <w:vAlign w:val="center"/>
          </w:tcPr>
          <w:p w14:paraId="1D7BC75B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5E65731F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4B23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34AB13A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696" w:type="dxa"/>
            <w:vAlign w:val="center"/>
          </w:tcPr>
          <w:p w14:paraId="237DCF5F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肌肤影像分析仪及控制终端</w:t>
            </w:r>
          </w:p>
        </w:tc>
        <w:tc>
          <w:tcPr>
            <w:tcW w:w="5532" w:type="dxa"/>
            <w:vAlign w:val="bottom"/>
          </w:tcPr>
          <w:p w14:paraId="4F402860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一、成像性能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成像像素不低于 1200 万，保证图像清晰度。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二、光谱模式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具备多种光谱模式，包括光、交叉偏振光、平行偏振光、紫外光等，满足不同检测需求。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三、照明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采用特定照明科技，满足成像所需照明条件。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四、通信与环境适应性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配备通信接口，用于数据传输等功能（可注明支持的常见通信协议类型）。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工作温度范围为 0 - 40℃，存储温度范围为 -10℃ - 40℃，适应不同环境条件。</w:t>
            </w:r>
          </w:p>
        </w:tc>
        <w:tc>
          <w:tcPr>
            <w:tcW w:w="732" w:type="dxa"/>
            <w:vAlign w:val="center"/>
          </w:tcPr>
          <w:p w14:paraId="6A3F5A64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756" w:type="dxa"/>
            <w:vAlign w:val="center"/>
          </w:tcPr>
          <w:p w14:paraId="310C98F8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630BAA6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080B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5BFED128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 w14:paraId="59AACB10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毛发头皮检测仪</w:t>
            </w:r>
          </w:p>
        </w:tc>
        <w:tc>
          <w:tcPr>
            <w:tcW w:w="5532" w:type="dxa"/>
            <w:vAlign w:val="bottom"/>
          </w:tcPr>
          <w:p w14:paraId="0D544ED9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一、显示屏规格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配备不小于 15 寸的触屏一体机显示屏，方便操作与查看检测结果。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二、像素要求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像素不低于 1000，确保检测图像的清晰度，满足对毛发和头皮细节观察的需求。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三、镜头配置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具备用于检测头皮毛囊的 200 倍镜头，能够清晰呈现毛囊状态。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 50 倍三光谱镜头，可用于观察皮肤表层、底层等不同层次的状况。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四、功能要求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支持客户建档功能，方便记录客户信息及检测数据。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可进行拍照储存，留存检测图像以便后续分析。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拥有图像对比功能，便于对比不同时期的检测结果。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配备四光谱双探头，从多光谱角度对毛发和头皮进行全面检测</w:t>
            </w:r>
          </w:p>
        </w:tc>
        <w:tc>
          <w:tcPr>
            <w:tcW w:w="732" w:type="dxa"/>
            <w:vAlign w:val="center"/>
          </w:tcPr>
          <w:p w14:paraId="34938C93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56" w:type="dxa"/>
            <w:vAlign w:val="center"/>
          </w:tcPr>
          <w:p w14:paraId="12788374">
            <w:pPr>
              <w:spacing w:line="460" w:lineRule="exact"/>
              <w:ind w:firstLine="420"/>
              <w:jc w:val="both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5E291759">
            <w:pPr>
              <w:spacing w:line="460" w:lineRule="exact"/>
              <w:ind w:firstLine="420"/>
              <w:jc w:val="both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3058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39445CE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696" w:type="dxa"/>
            <w:vAlign w:val="center"/>
          </w:tcPr>
          <w:p w14:paraId="2A46D032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光谱美容仪</w:t>
            </w:r>
          </w:p>
        </w:tc>
        <w:tc>
          <w:tcPr>
            <w:tcW w:w="5532" w:type="dxa"/>
            <w:vAlign w:val="bottom"/>
          </w:tcPr>
          <w:p w14:paraId="2DD13B0F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一、功能要求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具备多种光谱模式，包括红、黄、紫、青等单色光，以及青红循环、红紫循环等组合光模式。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可通过不同光谱模式切换，满足多样化的皮肤护理需求。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二、功效要求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作为皮肤科辅助设备，能利用冷光源光谱技术，通过不同波长光源作用于面部。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具体功效涵盖促进胶原蛋白再生，提升皮肤紧致度；抑制色素分解，改善肤色暗沉；对敏感型肌肤起到修复与改善作用。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三、工作参数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工作电压范围为 100 - 240V，可适应不同地区的供电环境。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工作频率支持 50/60 ，满足常规用电频率要求。</w:t>
            </w:r>
          </w:p>
        </w:tc>
        <w:tc>
          <w:tcPr>
            <w:tcW w:w="732" w:type="dxa"/>
            <w:vAlign w:val="center"/>
          </w:tcPr>
          <w:p w14:paraId="4278FDB3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56" w:type="dxa"/>
            <w:vAlign w:val="center"/>
          </w:tcPr>
          <w:p w14:paraId="63BE7FEA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145D5E3B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5792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D094B0B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696" w:type="dxa"/>
            <w:vAlign w:val="center"/>
          </w:tcPr>
          <w:p w14:paraId="0890B240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DPL光子嫩肤仪</w:t>
            </w:r>
          </w:p>
        </w:tc>
        <w:tc>
          <w:tcPr>
            <w:tcW w:w="5532" w:type="dxa"/>
            <w:vAlign w:val="bottom"/>
          </w:tcPr>
          <w:p w14:paraId="1FD9E0D8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一、功能要求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具备脱毛功能，能够有效去除多余毛发。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拥有祛斑功效，可针对各类色斑进行治疗。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支持皮肤修复，改善皮肤受损状态。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实现嫩肤效果，提升皮肤质感与光泽。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具备祛痘能力，帮助解决痘痘肌肤问题。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二、显示与光源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显示屏尺寸不小于 10 寸，方便操作与查看参数。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采用强脉冲光作为光源，提供治疗所需能量。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光谱范围覆盖 640 - 1200、560 - 1200，满足不同皮肤问题治疗需求。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四、光斑与尺寸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具备多种光斑尺寸，如 50*10、40*8，适用于不同部位治疗。</w:t>
            </w:r>
          </w:p>
        </w:tc>
        <w:tc>
          <w:tcPr>
            <w:tcW w:w="732" w:type="dxa"/>
            <w:vAlign w:val="center"/>
          </w:tcPr>
          <w:p w14:paraId="4A804D41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 w14:paraId="72A9D21D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4B636184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7638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37868AFA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696" w:type="dxa"/>
            <w:vAlign w:val="center"/>
          </w:tcPr>
          <w:p w14:paraId="3F8E634D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人体成分分析仪</w:t>
            </w:r>
          </w:p>
        </w:tc>
        <w:tc>
          <w:tcPr>
            <w:tcW w:w="5532" w:type="dxa"/>
            <w:vAlign w:val="bottom"/>
          </w:tcPr>
          <w:p w14:paraId="2E6D8383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一、工作原理与适用范围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利用全身生物电阻抗测量原理，分析人体成分，评估肥胖和健康状况。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适用于 18 - 99 岁普通男女，身高输入范围 60 - 200 厘米。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二、硬件参数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八电极设计。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多种测试频率（单位：kHz）可选。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测量电流≤90μA 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精密平衡梁式压力传感器测体重，范围 5 - 200kg，精度 ±0.5kg。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分析右上肢等五个部位电阻，范围 205.0Ω - 1480.0Ω。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四核 1.8GHz 处理器，2GB 内存，8GB 存储。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10.1 寸、1280*800 分辨率触摸屏。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100 - 240 伏特电源输入，50/60Hz 频率，功耗≤48 瓦。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304 不锈钢与电镀材料，整机重量≤50kg。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三、功能要求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提供中国与通用评估标准。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测量多种人体成分数据。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支持身体节段分析。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支持黑白、彩色报告打印。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具备重量控制、运动建议功能。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支持双管理员、双登录模式。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可数据导入导出，双语言切换及自定义。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自动检测，完整数据显示，报告输出与备份。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用户信息存储、修改，检测进度可视化。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支持手动、远程升级，关闭隐私显示打印。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四、产品配置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设备主机、连接螺丝与工具、电源线及说明书。</w:t>
            </w:r>
          </w:p>
        </w:tc>
        <w:tc>
          <w:tcPr>
            <w:tcW w:w="732" w:type="dxa"/>
            <w:vAlign w:val="center"/>
          </w:tcPr>
          <w:p w14:paraId="70CD8263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 w14:paraId="6E12F7C2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7120A2EB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3251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F5D4B85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696" w:type="dxa"/>
            <w:vAlign w:val="center"/>
          </w:tcPr>
          <w:p w14:paraId="69272EA4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离子喷雾仪</w:t>
            </w:r>
          </w:p>
        </w:tc>
        <w:tc>
          <w:tcPr>
            <w:tcW w:w="5532" w:type="dxa"/>
            <w:vAlign w:val="bottom"/>
          </w:tcPr>
          <w:p w14:paraId="7CB45F77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一、功能与功效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具备冷喷和热喷功能，为冷热双喷一体的美容喷雾仪。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能够快速出雾，可冷可热，满足不同使用需求。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二、电源与频率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 110 伏特或 220 伏特电源。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频率为 50 赫兹或 60 赫兹，适应不同供电环境。</w:t>
            </w:r>
          </w:p>
        </w:tc>
        <w:tc>
          <w:tcPr>
            <w:tcW w:w="732" w:type="dxa"/>
            <w:vAlign w:val="center"/>
          </w:tcPr>
          <w:p w14:paraId="36AF5708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756" w:type="dxa"/>
            <w:vAlign w:val="center"/>
          </w:tcPr>
          <w:p w14:paraId="033322EE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45DD8F0A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7E2F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0FEA2DA1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696" w:type="dxa"/>
            <w:vAlign w:val="center"/>
          </w:tcPr>
          <w:p w14:paraId="25E52147">
            <w:pPr>
              <w:spacing w:line="360" w:lineRule="auto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电动纹绣机</w:t>
            </w:r>
          </w:p>
        </w:tc>
        <w:tc>
          <w:tcPr>
            <w:tcW w:w="5532" w:type="dxa"/>
            <w:vAlign w:val="bottom"/>
          </w:tcPr>
          <w:p w14:paraId="681D3444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一、材质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采用优质合金材质，保证设备的耐用性和稳定性。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二、转速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转速不低于 35000 转，满足高效作业需求。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三、针型与用途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配备专用针，适用于眉眼唇小纹身等操作。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四、电源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支持充电式供电，方便使用。</w:t>
            </w:r>
          </w:p>
        </w:tc>
        <w:tc>
          <w:tcPr>
            <w:tcW w:w="732" w:type="dxa"/>
            <w:vAlign w:val="center"/>
          </w:tcPr>
          <w:p w14:paraId="26459D09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756" w:type="dxa"/>
            <w:vAlign w:val="center"/>
          </w:tcPr>
          <w:p w14:paraId="47C0CF3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2BC4E0BC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0341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FEC3F16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696" w:type="dxa"/>
            <w:vAlign w:val="center"/>
          </w:tcPr>
          <w:p w14:paraId="153CF79A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美容床（含美容床床上用品四件套）</w:t>
            </w:r>
          </w:p>
        </w:tc>
        <w:tc>
          <w:tcPr>
            <w:tcW w:w="5532" w:type="dxa"/>
            <w:vAlign w:val="bottom"/>
          </w:tcPr>
          <w:p w14:paraId="633F71B6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一、尺寸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美容床尺寸不小于 190×70×65（厘米）。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枕套尺寸不小于 30×50（厘米），被套尺寸不小于 180×90（厘米），床套尺寸不小于 190×70（厘米），凳套适配直径 33（厘米）的凳子。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二、功能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美容床为方头设计，床头可抬高，且带有头洞。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三、材质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美容床采用实木材料，床面为优质皮革，具备防炸裂、防起泡性能。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四件套材质为棉麻与纯棉，包括枕套、带可拆卸被芯的被套、床套、凳套。</w:t>
            </w:r>
          </w:p>
        </w:tc>
        <w:tc>
          <w:tcPr>
            <w:tcW w:w="732" w:type="dxa"/>
            <w:vAlign w:val="center"/>
          </w:tcPr>
          <w:p w14:paraId="4B6201E7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56" w:type="dxa"/>
            <w:vAlign w:val="center"/>
          </w:tcPr>
          <w:p w14:paraId="30990FDA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22647B4D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7B0A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71A0C3CC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696" w:type="dxa"/>
            <w:vAlign w:val="center"/>
          </w:tcPr>
          <w:p w14:paraId="6C58CFD5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美容用小推车</w:t>
            </w:r>
          </w:p>
        </w:tc>
        <w:tc>
          <w:tcPr>
            <w:tcW w:w="5532" w:type="dxa"/>
            <w:vAlign w:val="bottom"/>
          </w:tcPr>
          <w:p w14:paraId="1108C121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一、材质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采用塑料材质制成。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二、结构与功能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配备防滑轮，且轮子带有刹车功能。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整体为白色，共三层结构。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附带 2 个垃圾桶。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三、尺寸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尺寸约为 56×32×88（厘米） 。</w:t>
            </w:r>
          </w:p>
        </w:tc>
        <w:tc>
          <w:tcPr>
            <w:tcW w:w="732" w:type="dxa"/>
            <w:vAlign w:val="center"/>
          </w:tcPr>
          <w:p w14:paraId="59A96A32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756" w:type="dxa"/>
            <w:vAlign w:val="center"/>
          </w:tcPr>
          <w:p w14:paraId="597BCB9E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11CC7E73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0A2F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0D07067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696" w:type="dxa"/>
            <w:vAlign w:val="center"/>
          </w:tcPr>
          <w:p w14:paraId="42D2A834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化妆造型梳妆台</w:t>
            </w:r>
          </w:p>
        </w:tc>
        <w:tc>
          <w:tcPr>
            <w:tcW w:w="5532" w:type="dxa"/>
            <w:vAlign w:val="bottom"/>
          </w:tcPr>
          <w:p w14:paraId="6249869E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一、尺寸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整体尺寸（含镜子、灯泡）不小于 80×40×160（厘米），满足基本使用空间需求。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二、光源类型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配备至少 5 个灯泡作为光源，保证充足照明。</w:t>
            </w:r>
          </w:p>
        </w:tc>
        <w:tc>
          <w:tcPr>
            <w:tcW w:w="732" w:type="dxa"/>
            <w:vAlign w:val="center"/>
          </w:tcPr>
          <w:p w14:paraId="2770EF9D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56" w:type="dxa"/>
            <w:vAlign w:val="center"/>
          </w:tcPr>
          <w:p w14:paraId="116923F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60555325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793A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3476A1A0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696" w:type="dxa"/>
            <w:vAlign w:val="center"/>
          </w:tcPr>
          <w:p w14:paraId="6A7C4D46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LED皮肤冷光放大镜无影灯</w:t>
            </w:r>
          </w:p>
        </w:tc>
        <w:tc>
          <w:tcPr>
            <w:tcW w:w="5532" w:type="dxa"/>
            <w:vAlign w:val="bottom"/>
          </w:tcPr>
          <w:p w14:paraId="0DC65020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一、材质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灯罩采用特定材质，灯身为金属材质，保证灯具的耐用性。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二、开关类型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采用按钮式开关，方便操作。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三、光源参数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光源类型为灯（可接受多种适用于皮肤冷光放大镜无影灯的光源）。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照射面积在 10 - 15平米 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具备三色变光功能。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 1 个光源。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四、电压与功率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电压适配范围为 100 - 240V。</w:t>
            </w:r>
          </w:p>
        </w:tc>
        <w:tc>
          <w:tcPr>
            <w:tcW w:w="732" w:type="dxa"/>
            <w:vAlign w:val="center"/>
          </w:tcPr>
          <w:p w14:paraId="6001FC30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756" w:type="dxa"/>
            <w:vAlign w:val="center"/>
          </w:tcPr>
          <w:p w14:paraId="5818E5C9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0945498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29B6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40CD98F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696" w:type="dxa"/>
            <w:vAlign w:val="center"/>
          </w:tcPr>
          <w:p w14:paraId="65B82CD2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营养膳食宝塔</w:t>
            </w:r>
          </w:p>
        </w:tc>
        <w:tc>
          <w:tcPr>
            <w:tcW w:w="5532" w:type="dxa"/>
            <w:vAlign w:val="bottom"/>
          </w:tcPr>
          <w:p w14:paraId="2E583632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一、结构设计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采用可视化多层设计，清晰展现不同食物在膳食结构中的占比情况，层数不少于五层。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二、营养信息展示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展示主要营养素（如蛋白质、脂肪、碳水化合物等）的合理配比数据。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具备明显的营养数据标识与膳食指南信息呈现，方便理解。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支持互动式教学，可通过二维码、芯片等数字化方式实现。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三、材质要求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选用环保且耐用的材料制作，确保能长期稳定使用，满足学校教学场景需求</w:t>
            </w:r>
          </w:p>
        </w:tc>
        <w:tc>
          <w:tcPr>
            <w:tcW w:w="732" w:type="dxa"/>
            <w:vAlign w:val="center"/>
          </w:tcPr>
          <w:p w14:paraId="7DCA8C3D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 w14:paraId="038EDCBE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57E565F2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4EDE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EA3C33C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696" w:type="dxa"/>
            <w:vAlign w:val="center"/>
          </w:tcPr>
          <w:p w14:paraId="06870E65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膳食营养食物指导模型</w:t>
            </w:r>
          </w:p>
        </w:tc>
        <w:tc>
          <w:tcPr>
            <w:tcW w:w="5532" w:type="dxa"/>
            <w:vAlign w:val="bottom"/>
          </w:tcPr>
          <w:p w14:paraId="01DF7DAB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一、数量与种类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提供不少于 50 套食物模型，涵盖谷物、蔬菜、水果、肉类、奶类、油脂、坚果等常见食物类别。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具体示例包含红薯、燕麦片、面包片、生菜、橙子、小黄鱼、苏打饼干等多种典型食物。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二、材质要求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选用环保且耐用的材质制作，确保可长期稳定使用，满足学校教学场景需求。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三、功能需求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精准展示常见食物的形态，助力学生或用户清晰了解食物分类。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能够有效支持营养教育、健康饮食推广以及膳食规划课程的开展。</w:t>
            </w:r>
          </w:p>
        </w:tc>
        <w:tc>
          <w:tcPr>
            <w:tcW w:w="732" w:type="dxa"/>
            <w:vAlign w:val="center"/>
          </w:tcPr>
          <w:p w14:paraId="22140DBD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 w14:paraId="1C94A4E8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7DA0A27D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04D9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8F4C70E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696" w:type="dxa"/>
            <w:vAlign w:val="center"/>
          </w:tcPr>
          <w:p w14:paraId="3E7BF5D0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人体皮肤结构模型</w:t>
            </w:r>
          </w:p>
        </w:tc>
        <w:tc>
          <w:tcPr>
            <w:tcW w:w="5532" w:type="dxa"/>
            <w:vAlign w:val="bottom"/>
          </w:tcPr>
          <w:p w14:paraId="1C80D9C3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一、尺寸要求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模型尺寸不小于 120×70×188（厘米），充足的尺寸保障模型能全面展示人体皮肤各层结构及附属器官，清晰呈现皮肤结构细节，满足教学观察需求。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二、材质要求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选用塑胶材质，该材质具有一定韧性，能承受一定程度的触碰和操作，且耐用性良好，可适应长期反复的教学使用场景，确保模型使用寿命。</w:t>
            </w:r>
          </w:p>
        </w:tc>
        <w:tc>
          <w:tcPr>
            <w:tcW w:w="732" w:type="dxa"/>
            <w:vAlign w:val="center"/>
          </w:tcPr>
          <w:p w14:paraId="38C811D9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56" w:type="dxa"/>
            <w:vAlign w:val="center"/>
          </w:tcPr>
          <w:p w14:paraId="36B64ACE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42D461DC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73D7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300F2281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696" w:type="dxa"/>
            <w:vAlign w:val="center"/>
          </w:tcPr>
          <w:p w14:paraId="578575F7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头面部肌肉神经组织解剖模型</w:t>
            </w:r>
          </w:p>
        </w:tc>
        <w:tc>
          <w:tcPr>
            <w:tcW w:w="5532" w:type="dxa"/>
            <w:vAlign w:val="bottom"/>
          </w:tcPr>
          <w:p w14:paraId="60DDCC46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一、尺寸要求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模型尺寸不小于 13×7×13（单位：厘米），通过合理的大小设计，保证模型能完整、清晰地展示头面部肌肉神经组织的结构细节，满足教学观察时对细节呈现的要求。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二、配件要求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搭配底座，使模型在摆放与展示过程中更加稳固，便于多角度观察，为教学活动提供便利。</w:t>
            </w:r>
          </w:p>
        </w:tc>
        <w:tc>
          <w:tcPr>
            <w:tcW w:w="732" w:type="dxa"/>
            <w:vAlign w:val="center"/>
          </w:tcPr>
          <w:p w14:paraId="70A67719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56" w:type="dxa"/>
            <w:vAlign w:val="center"/>
          </w:tcPr>
          <w:p w14:paraId="661B9886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1FA883C6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3657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7F967217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696" w:type="dxa"/>
            <w:vAlign w:val="center"/>
          </w:tcPr>
          <w:p w14:paraId="65392F39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按摩耳模型</w:t>
            </w:r>
          </w:p>
        </w:tc>
        <w:tc>
          <w:tcPr>
            <w:tcW w:w="5532" w:type="dxa"/>
            <w:vAlign w:val="bottom"/>
          </w:tcPr>
          <w:p w14:paraId="759980BD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一、材质要求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采用符合相关环保标准的环保材质，在使用过程中对人体和环境无害，确保长期使用的安全性。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二、尺寸及配件要求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模型尺寸不小于 23×15（单位：厘米），为展示耳部结构细节和操作提供充足空间。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配备底座，使模型放置更稳定，便于在教学或演示场景中使用。</w:t>
            </w:r>
          </w:p>
        </w:tc>
        <w:tc>
          <w:tcPr>
            <w:tcW w:w="732" w:type="dxa"/>
            <w:vAlign w:val="center"/>
          </w:tcPr>
          <w:p w14:paraId="2F19E872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56" w:type="dxa"/>
            <w:vAlign w:val="center"/>
          </w:tcPr>
          <w:p w14:paraId="210BE54E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11AEDDF9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26EE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7826040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696" w:type="dxa"/>
            <w:vAlign w:val="center"/>
          </w:tcPr>
          <w:p w14:paraId="0130943B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按摩足模型</w:t>
            </w:r>
          </w:p>
        </w:tc>
        <w:tc>
          <w:tcPr>
            <w:tcW w:w="5532" w:type="dxa"/>
            <w:vAlign w:val="bottom"/>
          </w:tcPr>
          <w:p w14:paraId="06418B90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一、材质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选用环保材质制作，符合相关环保标准，保证使用过程中对人体和环境安全无害。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二、尺寸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模型尺寸不小于 25×9×14（单位：厘米），满足教学与操作演示需求，利于清晰呈现足部细节。</w:t>
            </w:r>
          </w:p>
        </w:tc>
        <w:tc>
          <w:tcPr>
            <w:tcW w:w="732" w:type="dxa"/>
            <w:vAlign w:val="center"/>
          </w:tcPr>
          <w:p w14:paraId="0B6981BD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56" w:type="dxa"/>
            <w:vAlign w:val="center"/>
          </w:tcPr>
          <w:p w14:paraId="66BD578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35D4AA91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06C5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4BE5A1E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696" w:type="dxa"/>
            <w:vAlign w:val="center"/>
          </w:tcPr>
          <w:p w14:paraId="4D841CCA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按摩手模型</w:t>
            </w:r>
          </w:p>
        </w:tc>
        <w:tc>
          <w:tcPr>
            <w:tcW w:w="5532" w:type="dxa"/>
            <w:vAlign w:val="bottom"/>
          </w:tcPr>
          <w:p w14:paraId="110A0679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一、材质要求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采用符合环保标准的材质，确保在使用过程中对人体和环境均无害，满足长期使用的安全需求。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二、尺寸及配件要求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模型尺寸不小于 30×12×16（单位：厘米），足够的尺寸便于清晰展示手部的骨骼、肌肉、神经等结构细节，方便使用者学习和操作。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配备底座，保证模型放置的稳定性，满足教学演示、练习操作等场景需求。</w:t>
            </w:r>
          </w:p>
        </w:tc>
        <w:tc>
          <w:tcPr>
            <w:tcW w:w="732" w:type="dxa"/>
            <w:vAlign w:val="center"/>
          </w:tcPr>
          <w:p w14:paraId="4A0A8A08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56" w:type="dxa"/>
            <w:vAlign w:val="center"/>
          </w:tcPr>
          <w:p w14:paraId="71A6A50D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4567626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2CAE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1499926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696" w:type="dxa"/>
            <w:vAlign w:val="center"/>
          </w:tcPr>
          <w:p w14:paraId="03DC845B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按摩头模型</w:t>
            </w:r>
          </w:p>
        </w:tc>
        <w:tc>
          <w:tcPr>
            <w:tcW w:w="5532" w:type="dxa"/>
            <w:vAlign w:val="bottom"/>
          </w:tcPr>
          <w:p w14:paraId="764A43AF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一、材质要求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采用环保材质制作，符合相关环保标准，确保在使用过程中对人体健康无危害，对环境无污染，满足长期使用的安全性要求。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二、尺寸及配件要求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模型尺寸不小于 25×15×20 （单位：厘米），保证模型有足够的空间展示头部的主要结构，包括颅骨、肌肉、神经和血管等，方便使用者学习和操作。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配备底座，使模型放置稳固，便于在教学演示、日常练习等场景中使用。</w:t>
            </w:r>
          </w:p>
        </w:tc>
        <w:tc>
          <w:tcPr>
            <w:tcW w:w="732" w:type="dxa"/>
            <w:vAlign w:val="center"/>
          </w:tcPr>
          <w:p w14:paraId="07012E07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56" w:type="dxa"/>
            <w:vAlign w:val="center"/>
          </w:tcPr>
          <w:p w14:paraId="6DE75DA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5C04C8E4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6FF6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028C0A9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696" w:type="dxa"/>
            <w:vAlign w:val="center"/>
          </w:tcPr>
          <w:p w14:paraId="61026386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针灸人模型</w:t>
            </w:r>
          </w:p>
        </w:tc>
        <w:tc>
          <w:tcPr>
            <w:tcW w:w="5532" w:type="dxa"/>
            <w:vAlign w:val="bottom"/>
          </w:tcPr>
          <w:p w14:paraId="4F08F4F4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一、材质要求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选用符合环保标准的材质制作，确保使用过程中对人体和环境无害，满足长期使用的安全需求。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二、尺寸及配件要求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模型高度不低于 178（单位：厘米），以保证模型能够清晰展示经络穴位等细节。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配备滑轮底座，便于模型移动，满足不同教学场景的摆放需求。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三、经络穴位要求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模型需呈现不少于 14 条人体主要经络线。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清晰标识身体右侧的经穴与经外穴，其中经穴不少于 361 个，经外穴不少于 48 个，并标注骨度线，用于辅助穴位定位与教学。</w:t>
            </w:r>
          </w:p>
        </w:tc>
        <w:tc>
          <w:tcPr>
            <w:tcW w:w="732" w:type="dxa"/>
            <w:vAlign w:val="center"/>
          </w:tcPr>
          <w:p w14:paraId="40C8951D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 w14:paraId="616B8CF1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65B78BBA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6F4E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3E61F0F8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696" w:type="dxa"/>
            <w:vAlign w:val="center"/>
          </w:tcPr>
          <w:p w14:paraId="5807186B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模型柜</w:t>
            </w:r>
          </w:p>
        </w:tc>
        <w:tc>
          <w:tcPr>
            <w:tcW w:w="5532" w:type="dxa"/>
            <w:vAlign w:val="bottom"/>
          </w:tcPr>
          <w:p w14:paraId="7AB50CDD"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bookmarkStart w:id="2" w:name="_GoBack"/>
            <w:bookmarkEnd w:id="2"/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一、尺寸要求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模型柜层数不少于四层，整体尺寸不小于 85×39×180（单位：厘米），提供充足空间用于存放各类模型，满足学校教学使用需求。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二、材质要求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柜体框架采用钛合金型材，具备良好的强度与稳定性，确保长期使用不易变形。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柜门及相关可视部分采用加厚钢化玻璃，保证清晰展示柜内物品的同时，增强安全性与耐用性。</w:t>
            </w:r>
          </w:p>
        </w:tc>
        <w:tc>
          <w:tcPr>
            <w:tcW w:w="732" w:type="dxa"/>
            <w:vAlign w:val="center"/>
          </w:tcPr>
          <w:p w14:paraId="33727D28">
            <w:pPr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756" w:type="dxa"/>
            <w:vAlign w:val="center"/>
          </w:tcPr>
          <w:p w14:paraId="5BDF3CE6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1187" w:type="dxa"/>
            <w:vAlign w:val="bottom"/>
          </w:tcPr>
          <w:p w14:paraId="125FBE0D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69E5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6" w:type="dxa"/>
            <w:gridSpan w:val="3"/>
            <w:vAlign w:val="center"/>
          </w:tcPr>
          <w:p w14:paraId="40051805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合计总计</w:t>
            </w:r>
          </w:p>
        </w:tc>
        <w:tc>
          <w:tcPr>
            <w:tcW w:w="2675" w:type="dxa"/>
            <w:gridSpan w:val="3"/>
            <w:vAlign w:val="center"/>
          </w:tcPr>
          <w:p w14:paraId="31A0D681">
            <w:pPr>
              <w:spacing w:line="460" w:lineRule="exact"/>
              <w:ind w:firstLine="420"/>
              <w:jc w:val="center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</w:tbl>
    <w:p w14:paraId="4DC754D7">
      <w:pPr>
        <w:spacing w:line="360" w:lineRule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</w:p>
    <w:p w14:paraId="12D491FB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说明：</w:t>
      </w:r>
    </w:p>
    <w:p w14:paraId="4C75143D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报价包含：</w:t>
      </w:r>
      <w:r>
        <w:rPr>
          <w:rFonts w:hint="eastAsia" w:cs="宋体" w:asciiTheme="minorEastAsia" w:hAnsiTheme="minorEastAsia" w:eastAsiaTheme="minorEastAsia"/>
          <w:b w:val="0"/>
          <w:bCs w:val="0"/>
          <w:color w:val="auto"/>
          <w:lang w:val="en-US" w:eastAsia="zh-CN"/>
        </w:rPr>
        <w:t>设计费、设备费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、</w:t>
      </w:r>
      <w:r>
        <w:rPr>
          <w:rFonts w:hint="eastAsia" w:cs="宋体" w:asciiTheme="minorEastAsia" w:hAnsiTheme="minorEastAsia" w:eastAsiaTheme="minorEastAsia"/>
          <w:color w:val="auto"/>
        </w:rPr>
        <w:t>人工费、安装费、运输费、管理费、风险费、材料费、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维护费、</w:t>
      </w:r>
      <w:r>
        <w:rPr>
          <w:rFonts w:hint="eastAsia" w:cs="宋体" w:asciiTheme="minorEastAsia" w:hAnsiTheme="minorEastAsia" w:eastAsiaTheme="minorEastAsia"/>
          <w:color w:val="auto"/>
        </w:rPr>
        <w:t>税费等一切费用。</w:t>
      </w:r>
    </w:p>
    <w:p w14:paraId="5B730891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2.报价人须提供详细的价格组成明细及产品参数。</w:t>
      </w:r>
    </w:p>
    <w:p w14:paraId="2875E2F2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3.重点提示：报价明细必须附相应的产品图片。</w:t>
      </w:r>
    </w:p>
    <w:p w14:paraId="140F80F2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auto"/>
        </w:rPr>
        <w:t>.付款方式：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验收合格后支付95%，</w:t>
      </w:r>
      <w:r>
        <w:rPr>
          <w:rFonts w:hint="eastAsia" w:cs="宋体" w:asciiTheme="minorEastAsia" w:hAnsiTheme="minorEastAsia" w:eastAsiaTheme="minorEastAsia"/>
          <w:color w:val="auto"/>
        </w:rPr>
        <w:t>留质保金5%，质保期满后支付。</w:t>
      </w:r>
    </w:p>
    <w:p w14:paraId="7AF86AFB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</w:rPr>
        <w:t>.质保期</w:t>
      </w:r>
      <w:r>
        <w:rPr>
          <w:rFonts w:hint="eastAsia" w:cs="宋体" w:asciiTheme="minorEastAsia" w:hAnsiTheme="minorEastAsia" w:eastAsiaTheme="minorEastAsia"/>
          <w:color w:val="auto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color w:val="auto"/>
        </w:rPr>
        <w:t>年，到货周期</w:t>
      </w:r>
      <w:r>
        <w:rPr>
          <w:rFonts w:hint="eastAsia" w:cs="宋体" w:asciiTheme="minorEastAsia" w:hAnsiTheme="minorEastAsia" w:eastAsiaTheme="minorEastAsia"/>
          <w:color w:val="auto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color w:val="auto"/>
        </w:rPr>
        <w:t>日历天。</w:t>
      </w:r>
    </w:p>
    <w:p w14:paraId="4D469E6A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二、报价方式：竞价谈判；</w:t>
      </w:r>
    </w:p>
    <w:p w14:paraId="7C6E5724"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三、合格竞谈方的要求</w:t>
      </w:r>
    </w:p>
    <w:p w14:paraId="74409452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1.营业执照要求：</w:t>
      </w:r>
    </w:p>
    <w:p w14:paraId="466900E3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报价人须具备经国家市场监督管理部门登记注册的独立企业（事业）法人或其它组织或自然人，必须具备有效的营业执照。</w:t>
      </w:r>
    </w:p>
    <w:p w14:paraId="45BE8F3F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2.财务状况要求：</w:t>
      </w:r>
    </w:p>
    <w:p w14:paraId="169C07D8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报价人财务状况良好，提供近三年的审计报告及审计过的财务报表，并加盖公司公章。</w:t>
      </w:r>
    </w:p>
    <w:p w14:paraId="12291787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3.信用要求：</w:t>
      </w:r>
    </w:p>
    <w:p w14:paraId="604E3A59">
      <w:pPr>
        <w:spacing w:line="360" w:lineRule="auto"/>
        <w:ind w:firstLine="420" w:firstLineChars="200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4E2217D4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4.竟谈文件附件清单如下：</w:t>
      </w:r>
    </w:p>
    <w:p w14:paraId="1F3E12C2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包含但不限于以下材料，均应加盖公章。</w:t>
      </w:r>
      <w:r>
        <w:rPr>
          <w:rFonts w:hint="eastAsia" w:cs="宋体" w:asciiTheme="minorEastAsia" w:hAnsiTheme="minorEastAsia" w:eastAsiaTheme="minorEastAsia"/>
          <w:b/>
          <w:color w:val="auto"/>
        </w:rPr>
        <w:t>商务部分和技术部分分开装订、分别进行密封，技术部分不得体现报价。</w:t>
      </w:r>
      <w:r>
        <w:rPr>
          <w:rFonts w:hint="eastAsia" w:cs="宋体" w:asciiTheme="minorEastAsia" w:hAnsiTheme="minorEastAsia" w:eastAsiaTheme="minorEastAsia"/>
          <w:color w:val="auto"/>
        </w:rPr>
        <w:t>商务部分，技术部分的首页均需制作目录：</w:t>
      </w:r>
    </w:p>
    <w:p w14:paraId="273BB24F">
      <w:pPr>
        <w:pStyle w:val="21"/>
        <w:numPr>
          <w:ilvl w:val="0"/>
          <w:numId w:val="2"/>
        </w:numPr>
        <w:spacing w:line="360" w:lineRule="auto"/>
        <w:ind w:firstLineChars="0"/>
        <w:rPr>
          <w:rFonts w:cs="宋体" w:asciiTheme="minorEastAsia" w:hAnsiTheme="minorEastAsia" w:eastAsiaTheme="minorEastAsia"/>
          <w:b/>
          <w:color w:val="auto"/>
        </w:rPr>
      </w:pPr>
      <w:r>
        <w:rPr>
          <w:rFonts w:hint="eastAsia" w:cs="宋体" w:asciiTheme="minorEastAsia" w:hAnsiTheme="minorEastAsia" w:eastAsiaTheme="minorEastAsia"/>
          <w:b/>
          <w:color w:val="auto"/>
        </w:rPr>
        <w:t>技术部分（独立封装）</w:t>
      </w:r>
    </w:p>
    <w:tbl>
      <w:tblPr>
        <w:tblStyle w:val="9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5"/>
      </w:tblGrid>
      <w:tr w14:paraId="5C34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25A1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1.产品品牌及详细参数、方案、到货及安装周期、质保期</w:t>
            </w:r>
          </w:p>
        </w:tc>
      </w:tr>
      <w:tr w14:paraId="7DB5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67C3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2.公司近两年业绩介绍，附中标通知或合同</w:t>
            </w:r>
          </w:p>
        </w:tc>
      </w:tr>
      <w:tr w14:paraId="4F19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9E32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3.无不良记录承诺书</w:t>
            </w:r>
          </w:p>
        </w:tc>
      </w:tr>
      <w:tr w14:paraId="6C42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D76B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近三年的审计报告及审计过的财务报表</w:t>
            </w:r>
          </w:p>
        </w:tc>
      </w:tr>
      <w:tr w14:paraId="11D6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0193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近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年（12月份）增值税完税证明</w:t>
            </w:r>
          </w:p>
        </w:tc>
      </w:tr>
      <w:tr w14:paraId="0EC3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2FBA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6.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售后服务承诺书、质量保证承诺书</w:t>
            </w:r>
          </w:p>
        </w:tc>
      </w:tr>
    </w:tbl>
    <w:p w14:paraId="30B242EF">
      <w:pPr>
        <w:pStyle w:val="21"/>
        <w:spacing w:line="360" w:lineRule="auto"/>
        <w:ind w:left="1140" w:firstLine="0" w:firstLineChars="0"/>
        <w:rPr>
          <w:rFonts w:cs="宋体" w:asciiTheme="minorEastAsia" w:hAnsiTheme="minorEastAsia" w:eastAsiaTheme="minorEastAsia"/>
          <w:color w:val="auto"/>
        </w:rPr>
      </w:pPr>
    </w:p>
    <w:p w14:paraId="1E2811F6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（2）</w:t>
      </w:r>
      <w:r>
        <w:rPr>
          <w:rFonts w:hint="eastAsia" w:cs="宋体" w:asciiTheme="minorEastAsia" w:hAnsiTheme="minorEastAsia" w:eastAsiaTheme="minorEastAsia"/>
          <w:b/>
          <w:color w:val="auto"/>
        </w:rPr>
        <w:t>商务部分（独立封装）</w:t>
      </w:r>
    </w:p>
    <w:tbl>
      <w:tblPr>
        <w:tblStyle w:val="9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560"/>
      </w:tblGrid>
      <w:tr w14:paraId="062A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526C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1.报价一览表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CB42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2.分项报价表</w:t>
            </w:r>
          </w:p>
        </w:tc>
      </w:tr>
      <w:tr w14:paraId="5197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F210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3.法定代表人资格证明书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CA16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4.法定代表人授权委托书件</w:t>
            </w:r>
          </w:p>
        </w:tc>
      </w:tr>
      <w:tr w14:paraId="2827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AF18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5.资质证明文件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F155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.报价人基本情况表</w:t>
            </w:r>
          </w:p>
        </w:tc>
      </w:tr>
    </w:tbl>
    <w:p w14:paraId="2816A770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</w:p>
    <w:p w14:paraId="0A4BE4E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谈文件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请同时提供：纸质版一式</w:t>
      </w:r>
      <w:r>
        <w:rPr>
          <w:rFonts w:hint="eastAsia" w:cs="宋体" w:asciiTheme="minorEastAsia" w:hAnsiTheme="minorEastAsia" w:eastAsiaTheme="minorEastAsia"/>
          <w:color w:val="auto"/>
        </w:rPr>
        <w:t>四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份（一正</w:t>
      </w:r>
      <w:r>
        <w:rPr>
          <w:rFonts w:hint="eastAsia" w:cs="宋体" w:asciiTheme="minorEastAsia" w:hAnsiTheme="minorEastAsia" w:eastAsiaTheme="minorEastAsia"/>
          <w:color w:val="auto"/>
        </w:rPr>
        <w:t>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谈文件</w:t>
      </w:r>
      <w:r>
        <w:rPr>
          <w:rFonts w:hint="eastAsia" w:cs="宋体" w:asciiTheme="minorEastAsia" w:hAnsiTheme="minorEastAsia" w:eastAsiaTheme="minorEastAsia"/>
          <w:color w:val="auto"/>
        </w:rPr>
        <w:t>须用封套加以密封，在封口处盖骑缝公章。</w:t>
      </w:r>
      <w:bookmarkStart w:id="0" w:name="OLE_LINK2"/>
      <w:bookmarkStart w:id="1" w:name="OLE_LINK1"/>
      <w:r>
        <w:rPr>
          <w:rFonts w:hint="eastAsia" w:cs="宋体" w:asciiTheme="minorEastAsia" w:hAnsiTheme="minorEastAsia" w:eastAsiaTheme="minorEastAsia"/>
          <w:color w:val="auto"/>
        </w:rPr>
        <w:t>商务部分和技术部分分开装订、分别进行密封，技术部分不得体现报价。</w:t>
      </w:r>
      <w:bookmarkEnd w:id="0"/>
      <w:bookmarkEnd w:id="1"/>
    </w:p>
    <w:p w14:paraId="17BC1B0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</w:rPr>
        <w:t>）未执行上述规定的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</w:t>
      </w:r>
      <w:r>
        <w:rPr>
          <w:rFonts w:hint="eastAsia" w:cs="宋体" w:asciiTheme="minorEastAsia" w:hAnsiTheme="minorEastAsia" w:eastAsiaTheme="minorEastAsia"/>
          <w:color w:val="auto"/>
        </w:rPr>
        <w:t>谈文件，将被视为无效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</w:t>
      </w:r>
      <w:r>
        <w:rPr>
          <w:rFonts w:hint="eastAsia" w:cs="宋体" w:asciiTheme="minorEastAsia" w:hAnsiTheme="minorEastAsia" w:eastAsiaTheme="minorEastAsia"/>
          <w:color w:val="auto"/>
        </w:rPr>
        <w:t>谈文件。</w:t>
      </w:r>
    </w:p>
    <w:p w14:paraId="7D7198A4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5</w:t>
      </w:r>
      <w:r>
        <w:rPr>
          <w:rFonts w:hint="eastAsia" w:cs="宋体" w:asciiTheme="minorEastAsia" w:hAnsiTheme="minorEastAsia" w:eastAsiaTheme="minorEastAsia"/>
          <w:color w:val="auto"/>
        </w:rPr>
        <w:t>）本公司保留第一次评审后，根据实际情况有可能进行补充询价及二次评审的权利。</w:t>
      </w:r>
    </w:p>
    <w:p w14:paraId="31C9C7EE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四、其他说明</w:t>
      </w:r>
    </w:p>
    <w:p w14:paraId="294DEC0F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573B2CE1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14:paraId="1AF9692A">
      <w:pPr>
        <w:spacing w:line="40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为保证竞价谈判质量，请</w:t>
      </w:r>
      <w:r>
        <w:rPr>
          <w:rFonts w:hint="eastAsia" w:cs="宋体" w:asciiTheme="minorEastAsia" w:hAnsiTheme="minorEastAsia" w:eastAsiaTheme="minorEastAsia"/>
          <w:color w:val="auto"/>
        </w:rPr>
        <w:t>参与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竞价的公司技术人员和商务人员同时到场参加谈判。</w:t>
      </w:r>
    </w:p>
    <w:p w14:paraId="5070D2F4">
      <w:pPr>
        <w:spacing w:line="40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 xml:space="preserve">4.竞价公司请携带具有代表性的产品样品参加，以便更好展示产品性能与优势。 </w:t>
      </w:r>
    </w:p>
    <w:p w14:paraId="6B4AE2FB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 w14:paraId="246AE049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五、竞谈文件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和评审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09565511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4E6BDE41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highlight w:val="yello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（1）文件递交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截止时间：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下午16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:</w:t>
      </w:r>
      <w:r>
        <w:rPr>
          <w:rFonts w:hint="eastAsia" w:cs="宋体" w:asciiTheme="minorEastAsia" w:hAnsiTheme="minorEastAsia" w:eastAsiaTheme="minorEastAsia"/>
          <w:color w:val="auto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(可提前提交)</w:t>
      </w:r>
    </w:p>
    <w:p w14:paraId="300FCADA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highlight w:val="yellow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297FC7A0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669BC77D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（1）竞谈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评审时间：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下午14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: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30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</w:p>
    <w:p w14:paraId="7D385E2E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会议室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76D61C8B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.联系方式</w:t>
      </w:r>
    </w:p>
    <w:p w14:paraId="72EE9539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（1）</w:t>
      </w:r>
      <w:r>
        <w:rPr>
          <w:rFonts w:hint="eastAsia" w:cs="宋体" w:asciiTheme="minorEastAsia" w:hAnsiTheme="minorEastAsia" w:eastAsiaTheme="minorEastAsia"/>
          <w:color w:val="auto"/>
        </w:rPr>
        <w:t>项目负责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人：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起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15911714054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523F3ECF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采购</w:t>
      </w:r>
      <w:r>
        <w:rPr>
          <w:rFonts w:hint="eastAsia" w:cs="宋体" w:asciiTheme="minorEastAsia" w:hAnsiTheme="minorEastAsia" w:eastAsiaTheme="minorEastAsia"/>
          <w:color w:val="auto"/>
        </w:rPr>
        <w:t>单位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联系电话：杨老师15368090913。</w:t>
      </w:r>
    </w:p>
    <w:p w14:paraId="2C513EEC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）招标代理联系电话：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翟老师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0871-68330090/</w:t>
      </w:r>
      <w:r>
        <w:t xml:space="preserve"> </w:t>
      </w:r>
      <w:r>
        <w:rPr>
          <w:rFonts w:cs="宋体" w:asciiTheme="minorEastAsia" w:hAnsiTheme="minorEastAsia" w:eastAsiaTheme="minorEastAsia"/>
          <w:color w:val="auto"/>
        </w:rPr>
        <w:t>18388287989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47C7D972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</w:t>
      </w:r>
      <w:r>
        <w:rPr>
          <w:rFonts w:hint="eastAsia" w:cs="宋体" w:asciiTheme="minorEastAsia" w:hAnsiTheme="minorEastAsia" w:eastAsiaTheme="minorEastAsia"/>
          <w:color w:val="auto"/>
        </w:rPr>
        <w:t>监审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</w:t>
      </w:r>
      <w:r>
        <w:rPr>
          <w:rFonts w:hint="eastAsia" w:cs="宋体" w:asciiTheme="minorEastAsia" w:hAnsiTheme="minorEastAsia" w:eastAsiaTheme="minorEastAsia"/>
          <w:color w:val="auto"/>
        </w:rPr>
        <w:t>王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>18487241976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0192333F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</w:p>
    <w:p w14:paraId="7E419D39">
      <w:pPr>
        <w:wordWrap w:val="0"/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采购单位：云南医药健康职业学院</w:t>
      </w:r>
    </w:p>
    <w:p w14:paraId="2CB8F2C0">
      <w:pPr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招标代理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机构：云南景通招标代理有限公司</w:t>
      </w:r>
    </w:p>
    <w:p w14:paraId="4C98F243">
      <w:pPr>
        <w:wordWrap w:val="0"/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 xml:space="preserve">                                              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28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A33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B53C26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3B53C26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D30F9"/>
    <w:multiLevelType w:val="multilevel"/>
    <w:tmpl w:val="268D30F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50362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141CC"/>
    <w:rsid w:val="00B3672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451BD"/>
    <w:rsid w:val="00E15810"/>
    <w:rsid w:val="00E52F76"/>
    <w:rsid w:val="00E773E1"/>
    <w:rsid w:val="00E80720"/>
    <w:rsid w:val="00E82DE1"/>
    <w:rsid w:val="00EC44D6"/>
    <w:rsid w:val="00ED2DFA"/>
    <w:rsid w:val="00EF06E0"/>
    <w:rsid w:val="00F12FFD"/>
    <w:rsid w:val="00FE291F"/>
    <w:rsid w:val="01916C5A"/>
    <w:rsid w:val="01AC45A7"/>
    <w:rsid w:val="01E65CA9"/>
    <w:rsid w:val="039B5B6E"/>
    <w:rsid w:val="0466617C"/>
    <w:rsid w:val="049525BD"/>
    <w:rsid w:val="04A22F2C"/>
    <w:rsid w:val="05DA2E36"/>
    <w:rsid w:val="05EC26B0"/>
    <w:rsid w:val="061B4D44"/>
    <w:rsid w:val="06604E4C"/>
    <w:rsid w:val="066761DB"/>
    <w:rsid w:val="06734B80"/>
    <w:rsid w:val="06874187"/>
    <w:rsid w:val="06B81D95"/>
    <w:rsid w:val="06CC4290"/>
    <w:rsid w:val="06F0248B"/>
    <w:rsid w:val="0721638A"/>
    <w:rsid w:val="074327A4"/>
    <w:rsid w:val="07AB012E"/>
    <w:rsid w:val="07D16002"/>
    <w:rsid w:val="07D4164E"/>
    <w:rsid w:val="083B347B"/>
    <w:rsid w:val="084F33CB"/>
    <w:rsid w:val="08964D2B"/>
    <w:rsid w:val="089963F4"/>
    <w:rsid w:val="08CC67C9"/>
    <w:rsid w:val="0922463B"/>
    <w:rsid w:val="09306D58"/>
    <w:rsid w:val="098826F0"/>
    <w:rsid w:val="098D1FCD"/>
    <w:rsid w:val="09E85450"/>
    <w:rsid w:val="0A1C13FB"/>
    <w:rsid w:val="0A894972"/>
    <w:rsid w:val="0AC67734"/>
    <w:rsid w:val="0ADF5F23"/>
    <w:rsid w:val="0AFB13A8"/>
    <w:rsid w:val="0B697B02"/>
    <w:rsid w:val="0C1110C3"/>
    <w:rsid w:val="0C915D60"/>
    <w:rsid w:val="0CFC1C88"/>
    <w:rsid w:val="0DCA0182"/>
    <w:rsid w:val="0E627CE7"/>
    <w:rsid w:val="0F276507"/>
    <w:rsid w:val="0FB00182"/>
    <w:rsid w:val="101C3AC9"/>
    <w:rsid w:val="103B0861"/>
    <w:rsid w:val="106B4B1A"/>
    <w:rsid w:val="109C1B7D"/>
    <w:rsid w:val="10FD7403"/>
    <w:rsid w:val="11290C5D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D84274"/>
    <w:rsid w:val="147B66BC"/>
    <w:rsid w:val="14F53595"/>
    <w:rsid w:val="1582093B"/>
    <w:rsid w:val="161C6D11"/>
    <w:rsid w:val="16DF591A"/>
    <w:rsid w:val="16E573D4"/>
    <w:rsid w:val="176D1177"/>
    <w:rsid w:val="17F11DA8"/>
    <w:rsid w:val="18390845"/>
    <w:rsid w:val="186407CC"/>
    <w:rsid w:val="193373FD"/>
    <w:rsid w:val="193C2EF3"/>
    <w:rsid w:val="19692726"/>
    <w:rsid w:val="1AFC3AB4"/>
    <w:rsid w:val="1B920ECC"/>
    <w:rsid w:val="1C4F3541"/>
    <w:rsid w:val="1CAD0994"/>
    <w:rsid w:val="1CFB4B98"/>
    <w:rsid w:val="1D444728"/>
    <w:rsid w:val="1D884F5D"/>
    <w:rsid w:val="1DD74DE5"/>
    <w:rsid w:val="1E0067ED"/>
    <w:rsid w:val="1E8C54A8"/>
    <w:rsid w:val="1EA96F39"/>
    <w:rsid w:val="1EC879EB"/>
    <w:rsid w:val="1ECE074D"/>
    <w:rsid w:val="1ED815CC"/>
    <w:rsid w:val="1EEE0DF0"/>
    <w:rsid w:val="1F587D1E"/>
    <w:rsid w:val="1F6966C8"/>
    <w:rsid w:val="1FB4005B"/>
    <w:rsid w:val="1FC659C3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2DF73CD"/>
    <w:rsid w:val="233414D0"/>
    <w:rsid w:val="234E4553"/>
    <w:rsid w:val="235356C5"/>
    <w:rsid w:val="23945594"/>
    <w:rsid w:val="23A93537"/>
    <w:rsid w:val="23D762F6"/>
    <w:rsid w:val="247E49C4"/>
    <w:rsid w:val="252D1DA1"/>
    <w:rsid w:val="25461B81"/>
    <w:rsid w:val="25737F81"/>
    <w:rsid w:val="2609650F"/>
    <w:rsid w:val="26123616"/>
    <w:rsid w:val="2680190E"/>
    <w:rsid w:val="26A500BB"/>
    <w:rsid w:val="28012E1E"/>
    <w:rsid w:val="28234CE7"/>
    <w:rsid w:val="28245882"/>
    <w:rsid w:val="28B05368"/>
    <w:rsid w:val="29A46C7B"/>
    <w:rsid w:val="29D15596"/>
    <w:rsid w:val="29D60DFE"/>
    <w:rsid w:val="2A477CE9"/>
    <w:rsid w:val="2C83552E"/>
    <w:rsid w:val="2C8A00B1"/>
    <w:rsid w:val="2DA51262"/>
    <w:rsid w:val="2E33681F"/>
    <w:rsid w:val="2E4E3407"/>
    <w:rsid w:val="2E815065"/>
    <w:rsid w:val="2F034443"/>
    <w:rsid w:val="2FBC4D4D"/>
    <w:rsid w:val="303626F5"/>
    <w:rsid w:val="30395C43"/>
    <w:rsid w:val="303B7C0D"/>
    <w:rsid w:val="306C7DC6"/>
    <w:rsid w:val="308415B4"/>
    <w:rsid w:val="30A24BC5"/>
    <w:rsid w:val="31D837D6"/>
    <w:rsid w:val="32BB6DE3"/>
    <w:rsid w:val="32C4213C"/>
    <w:rsid w:val="32D81743"/>
    <w:rsid w:val="32D85BE7"/>
    <w:rsid w:val="33993C89"/>
    <w:rsid w:val="33DE722D"/>
    <w:rsid w:val="33FA1CB2"/>
    <w:rsid w:val="34321327"/>
    <w:rsid w:val="344F012B"/>
    <w:rsid w:val="34671C20"/>
    <w:rsid w:val="34773182"/>
    <w:rsid w:val="34E73CF4"/>
    <w:rsid w:val="350576C3"/>
    <w:rsid w:val="35BD4200"/>
    <w:rsid w:val="36485257"/>
    <w:rsid w:val="376D0FF4"/>
    <w:rsid w:val="377203B8"/>
    <w:rsid w:val="377A726D"/>
    <w:rsid w:val="37E10C18"/>
    <w:rsid w:val="38D330D8"/>
    <w:rsid w:val="390519D8"/>
    <w:rsid w:val="392A6A70"/>
    <w:rsid w:val="39663F4D"/>
    <w:rsid w:val="3995213C"/>
    <w:rsid w:val="39BB384E"/>
    <w:rsid w:val="39BC591B"/>
    <w:rsid w:val="39D709A6"/>
    <w:rsid w:val="3A3E27D3"/>
    <w:rsid w:val="3A971EE4"/>
    <w:rsid w:val="3ADC741E"/>
    <w:rsid w:val="3B2E0CDD"/>
    <w:rsid w:val="3B404329"/>
    <w:rsid w:val="3BE178BA"/>
    <w:rsid w:val="3C180B66"/>
    <w:rsid w:val="3C68259C"/>
    <w:rsid w:val="3CF11D7F"/>
    <w:rsid w:val="3D23796D"/>
    <w:rsid w:val="3DA212CB"/>
    <w:rsid w:val="3DF5776D"/>
    <w:rsid w:val="3E774506"/>
    <w:rsid w:val="3E7C38CA"/>
    <w:rsid w:val="3ED24D5F"/>
    <w:rsid w:val="41006A35"/>
    <w:rsid w:val="41177CBE"/>
    <w:rsid w:val="415D1F4B"/>
    <w:rsid w:val="419B52B3"/>
    <w:rsid w:val="41F1637D"/>
    <w:rsid w:val="434B3125"/>
    <w:rsid w:val="43F403A7"/>
    <w:rsid w:val="44062F6B"/>
    <w:rsid w:val="4441183E"/>
    <w:rsid w:val="461F5BAF"/>
    <w:rsid w:val="46DF0E9A"/>
    <w:rsid w:val="47845921"/>
    <w:rsid w:val="47CB141F"/>
    <w:rsid w:val="480F7EF4"/>
    <w:rsid w:val="48220665"/>
    <w:rsid w:val="482C010F"/>
    <w:rsid w:val="48AB2CA2"/>
    <w:rsid w:val="48BD345D"/>
    <w:rsid w:val="49A91E85"/>
    <w:rsid w:val="4A3459A1"/>
    <w:rsid w:val="4B840262"/>
    <w:rsid w:val="4B90505B"/>
    <w:rsid w:val="4C155020"/>
    <w:rsid w:val="4C5B5709"/>
    <w:rsid w:val="4C6662F6"/>
    <w:rsid w:val="4C7E68FD"/>
    <w:rsid w:val="4C820C46"/>
    <w:rsid w:val="4D3919C1"/>
    <w:rsid w:val="4DA644C0"/>
    <w:rsid w:val="4E5649AC"/>
    <w:rsid w:val="4E720846"/>
    <w:rsid w:val="4E9E163B"/>
    <w:rsid w:val="4F4C72E9"/>
    <w:rsid w:val="4F8627FB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3FD5056"/>
    <w:rsid w:val="542C1497"/>
    <w:rsid w:val="54E32CB1"/>
    <w:rsid w:val="55211CC3"/>
    <w:rsid w:val="552F7491"/>
    <w:rsid w:val="5555648E"/>
    <w:rsid w:val="55782D35"/>
    <w:rsid w:val="55F06C20"/>
    <w:rsid w:val="56513437"/>
    <w:rsid w:val="572D17AE"/>
    <w:rsid w:val="57574A7D"/>
    <w:rsid w:val="58164551"/>
    <w:rsid w:val="594F3C5E"/>
    <w:rsid w:val="5A193B3B"/>
    <w:rsid w:val="5AE35282"/>
    <w:rsid w:val="5BA858A7"/>
    <w:rsid w:val="5BBD65B1"/>
    <w:rsid w:val="5C7E7952"/>
    <w:rsid w:val="5C814CB2"/>
    <w:rsid w:val="5DA30A1C"/>
    <w:rsid w:val="5DBB0B1A"/>
    <w:rsid w:val="5E602469"/>
    <w:rsid w:val="5E77028A"/>
    <w:rsid w:val="5E7D669A"/>
    <w:rsid w:val="5ECE3876"/>
    <w:rsid w:val="5EF4373D"/>
    <w:rsid w:val="5F622211"/>
    <w:rsid w:val="60387081"/>
    <w:rsid w:val="603E67DA"/>
    <w:rsid w:val="612C2AD6"/>
    <w:rsid w:val="61C84EF5"/>
    <w:rsid w:val="622540F5"/>
    <w:rsid w:val="639257BA"/>
    <w:rsid w:val="63CE3BC7"/>
    <w:rsid w:val="64C64FF0"/>
    <w:rsid w:val="64E56A65"/>
    <w:rsid w:val="655F16CC"/>
    <w:rsid w:val="659A641A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C36416"/>
    <w:rsid w:val="6959083E"/>
    <w:rsid w:val="69E04BB7"/>
    <w:rsid w:val="6A0C56F6"/>
    <w:rsid w:val="6A0E1913"/>
    <w:rsid w:val="6AAF1314"/>
    <w:rsid w:val="6B030D4C"/>
    <w:rsid w:val="6B1747F7"/>
    <w:rsid w:val="6B2F1B41"/>
    <w:rsid w:val="6BAD2A66"/>
    <w:rsid w:val="6C303DC2"/>
    <w:rsid w:val="6C621AA2"/>
    <w:rsid w:val="6CAB36D8"/>
    <w:rsid w:val="6CB70040"/>
    <w:rsid w:val="6D1C7DDB"/>
    <w:rsid w:val="6D925061"/>
    <w:rsid w:val="6DAA3701"/>
    <w:rsid w:val="6E510020"/>
    <w:rsid w:val="6EFB3918"/>
    <w:rsid w:val="7004359C"/>
    <w:rsid w:val="70952EC6"/>
    <w:rsid w:val="709C13CF"/>
    <w:rsid w:val="70B605B4"/>
    <w:rsid w:val="70F87C62"/>
    <w:rsid w:val="710F0089"/>
    <w:rsid w:val="71502811"/>
    <w:rsid w:val="72A8717C"/>
    <w:rsid w:val="7317621E"/>
    <w:rsid w:val="731955B0"/>
    <w:rsid w:val="734939BC"/>
    <w:rsid w:val="74583EB6"/>
    <w:rsid w:val="74587064"/>
    <w:rsid w:val="74A54C22"/>
    <w:rsid w:val="74F6722B"/>
    <w:rsid w:val="752217B8"/>
    <w:rsid w:val="757C1E26"/>
    <w:rsid w:val="772C065B"/>
    <w:rsid w:val="7730111A"/>
    <w:rsid w:val="775D6EE5"/>
    <w:rsid w:val="77EE068E"/>
    <w:rsid w:val="77F9150C"/>
    <w:rsid w:val="791D1B70"/>
    <w:rsid w:val="7927654D"/>
    <w:rsid w:val="79982FA7"/>
    <w:rsid w:val="7A170370"/>
    <w:rsid w:val="7A4D3D91"/>
    <w:rsid w:val="7AC810FF"/>
    <w:rsid w:val="7AEF309B"/>
    <w:rsid w:val="7B152B01"/>
    <w:rsid w:val="7B607AF4"/>
    <w:rsid w:val="7BD306CB"/>
    <w:rsid w:val="7BDB9919"/>
    <w:rsid w:val="7BFFE9C9"/>
    <w:rsid w:val="7C144CFD"/>
    <w:rsid w:val="7C1A5EF5"/>
    <w:rsid w:val="7C756885"/>
    <w:rsid w:val="7C8C34F8"/>
    <w:rsid w:val="7CEF2EDE"/>
    <w:rsid w:val="7E096221"/>
    <w:rsid w:val="7E132BFC"/>
    <w:rsid w:val="7EC32874"/>
    <w:rsid w:val="7F992A18"/>
    <w:rsid w:val="DFBA6E3B"/>
    <w:rsid w:val="FFE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8F55B-23EF-408B-86B1-C6386EE2A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5843</Words>
  <Characters>6242</Characters>
  <Lines>16</Lines>
  <Paragraphs>4</Paragraphs>
  <TotalTime>5</TotalTime>
  <ScaleCrop>false</ScaleCrop>
  <LinksUpToDate>false</LinksUpToDate>
  <CharactersWithSpaces>6420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2024-12-06T09:21:00Z</dcterms:created>
  <dc:creator>wangjianjun</dc:creator>
  <cp:lastModifiedBy>Throb</cp:lastModifiedBy>
  <cp:lastPrinted>2025-03-04T06:52:00Z</cp:lastPrinted>
  <dcterms:modified xsi:type="dcterms:W3CDTF">2025-03-04T07:00:06Z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159C5125E64C4BF38897D585FF0B0E86_13</vt:lpwstr>
  </property>
  <property fmtid="{D5CDD505-2E9C-101B-9397-08002B2CF9AE}" pid="4" name="KSOTemplateDocerSaveRecord">
    <vt:lpwstr>eyJoZGlkIjoiMzEwNTM5NzYwMDRjMzkwZTVkZjY2ODkwMGIxNGU0OTUiLCJ1c2VySWQiOiI3MzM1NDAzNDUifQ==</vt:lpwstr>
  </property>
</Properties>
</file>