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D6D34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</w:rPr>
        <w:t>云南医药健康职业学院临床护理综合实验室</w:t>
      </w:r>
    </w:p>
    <w:p w14:paraId="5B230EC6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</w:rPr>
        <w:t>采购竞争性谈判文件</w:t>
      </w:r>
    </w:p>
    <w:p w14:paraId="504B4C2E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  <w:lang w:val="zh-TW" w:eastAsia="zh-TW"/>
        </w:rPr>
      </w:pPr>
    </w:p>
    <w:p w14:paraId="39B65319">
      <w:pPr>
        <w:spacing w:line="460" w:lineRule="exact"/>
        <w:ind w:firstLine="420"/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  <w:lang w:val="zh-TW" w:eastAsia="zh-TW"/>
        </w:rPr>
      </w:pPr>
      <w:r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现就以下采购项目，本着公开、公平、公正和诚实信用的原则进行公开竞争性采购，诚邀符合条件的公司或供应商前来参与报价。</w:t>
      </w:r>
    </w:p>
    <w:p w14:paraId="49785DE1">
      <w:pPr>
        <w:numPr>
          <w:ilvl w:val="0"/>
          <w:numId w:val="1"/>
        </w:numPr>
        <w:spacing w:line="460" w:lineRule="exact"/>
        <w:rPr>
          <w:rFonts w:cs="宋体" w:asciiTheme="minorEastAsia" w:hAnsiTheme="minorEastAsia" w:eastAsiaTheme="minorEastAsia"/>
          <w:b/>
          <w:bCs/>
          <w:color w:val="auto"/>
          <w:u w:color="222222"/>
          <w:shd w:val="clear" w:color="auto" w:fill="FFFFFF"/>
          <w:lang w:val="zh-TW" w:eastAsia="zh-TW"/>
        </w:rPr>
      </w:pPr>
      <w:r>
        <w:rPr>
          <w:rFonts w:cs="宋体" w:asciiTheme="minorEastAsia" w:hAnsiTheme="minorEastAsia" w:eastAsiaTheme="minorEastAsia"/>
          <w:b/>
          <w:bCs/>
          <w:color w:val="auto"/>
          <w:u w:color="222222"/>
          <w:shd w:val="clear" w:color="auto" w:fill="FFFFFF"/>
          <w:lang w:val="zh-TW" w:eastAsia="zh-TW"/>
        </w:rPr>
        <w:t>邀请报价</w:t>
      </w:r>
    </w:p>
    <w:tbl>
      <w:tblPr>
        <w:tblStyle w:val="10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36"/>
        <w:gridCol w:w="5103"/>
        <w:gridCol w:w="885"/>
        <w:gridCol w:w="1008"/>
        <w:gridCol w:w="1331"/>
      </w:tblGrid>
      <w:tr w14:paraId="13093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  <w:vAlign w:val="center"/>
          </w:tcPr>
          <w:p w14:paraId="6A22789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330" w:type="pct"/>
            <w:vAlign w:val="center"/>
          </w:tcPr>
          <w:p w14:paraId="4779894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名称</w:t>
            </w:r>
          </w:p>
        </w:tc>
        <w:tc>
          <w:tcPr>
            <w:tcW w:w="2654" w:type="pct"/>
            <w:vAlign w:val="center"/>
          </w:tcPr>
          <w:p w14:paraId="0980B4D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参数</w:t>
            </w:r>
          </w:p>
        </w:tc>
        <w:tc>
          <w:tcPr>
            <w:tcW w:w="460" w:type="pct"/>
            <w:vAlign w:val="center"/>
          </w:tcPr>
          <w:p w14:paraId="115117D7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数量</w:t>
            </w:r>
          </w:p>
        </w:tc>
        <w:tc>
          <w:tcPr>
            <w:tcW w:w="524" w:type="pct"/>
            <w:vAlign w:val="center"/>
          </w:tcPr>
          <w:p w14:paraId="10E8159C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单价</w:t>
            </w:r>
          </w:p>
        </w:tc>
        <w:tc>
          <w:tcPr>
            <w:tcW w:w="692" w:type="pct"/>
            <w:vAlign w:val="center"/>
          </w:tcPr>
          <w:p w14:paraId="463D4096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合计</w:t>
            </w:r>
          </w:p>
        </w:tc>
      </w:tr>
      <w:tr w14:paraId="703F3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  <w:vAlign w:val="center"/>
          </w:tcPr>
          <w:p w14:paraId="43E150B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30" w:type="pct"/>
            <w:vAlign w:val="center"/>
          </w:tcPr>
          <w:p w14:paraId="35E338E7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</w:rPr>
              <w:t>高级婴儿头部静脉注射训练模型</w:t>
            </w:r>
          </w:p>
        </w:tc>
        <w:tc>
          <w:tcPr>
            <w:tcW w:w="2654" w:type="pct"/>
            <w:vAlign w:val="center"/>
          </w:tcPr>
          <w:p w14:paraId="2CB4F97A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一、模型特性</w:t>
            </w:r>
          </w:p>
          <w:p w14:paraId="35D38F98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为新生儿头部仿真模型，头皮与血管材质柔韧且耐针刺，保证使用体验与寿命。</w:t>
            </w:r>
          </w:p>
          <w:p w14:paraId="6B743F95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头部拥有完整头皮静脉系统，皮下血管可见，便于识别定位。</w:t>
            </w:r>
          </w:p>
          <w:p w14:paraId="625EBA1B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二、功能要求</w:t>
            </w:r>
          </w:p>
          <w:p w14:paraId="671692EB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支持静脉输液、采血、注射给药操作，满足多样训练场景。</w:t>
            </w:r>
          </w:p>
          <w:p w14:paraId="680F3DE6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可模拟静脉血管充盈，静脉穿刺能产生落空感并见回血，能进行静脉输液且可控制输液滴数，贴近真实操作。</w:t>
            </w:r>
          </w:p>
          <w:p w14:paraId="2BC69C6A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具备双侧头皮静脉血管系统或同等功能设计，方便多方位操作训练。</w:t>
            </w:r>
          </w:p>
          <w:p w14:paraId="7D6B4BA5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三、配置需求</w:t>
            </w:r>
          </w:p>
          <w:p w14:paraId="1842018A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每套包含多具仿真模型，模拟血管内径有不同规格，满足不同难度训练与考核要求。</w:t>
            </w:r>
          </w:p>
          <w:p w14:paraId="3BA3EB0B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模型数量和血管内径规格可依教学需求灵活配置，不限于三具一套及 1mm、1.5mm、2mm 三种内径 。</w:t>
            </w:r>
          </w:p>
        </w:tc>
        <w:tc>
          <w:tcPr>
            <w:tcW w:w="460" w:type="pct"/>
            <w:vAlign w:val="center"/>
          </w:tcPr>
          <w:p w14:paraId="4E80F645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524" w:type="pct"/>
            <w:vAlign w:val="center"/>
          </w:tcPr>
          <w:p w14:paraId="3650CE5E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692" w:type="pct"/>
            <w:vAlign w:val="center"/>
          </w:tcPr>
          <w:p w14:paraId="4097DC13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6ED49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  <w:vAlign w:val="center"/>
          </w:tcPr>
          <w:p w14:paraId="0B3814B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330" w:type="pct"/>
            <w:vAlign w:val="center"/>
          </w:tcPr>
          <w:p w14:paraId="017FB4BC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</w:rPr>
              <w:t>先天性器质性心脏病系列模型</w:t>
            </w:r>
          </w:p>
        </w:tc>
        <w:tc>
          <w:tcPr>
            <w:tcW w:w="2654" w:type="pct"/>
            <w:vAlign w:val="center"/>
          </w:tcPr>
          <w:p w14:paraId="18E0BFBB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一、模型规格</w:t>
            </w:r>
          </w:p>
          <w:p w14:paraId="01282F12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为放大模型，方便观察细节。</w:t>
            </w:r>
          </w:p>
          <w:p w14:paraId="7DA2799C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由多个模型组成（不局限于 4 个），全面展示不同类型的先天性器质性心脏病。</w:t>
            </w:r>
          </w:p>
          <w:p w14:paraId="5D205F17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二、模型结构</w:t>
            </w:r>
          </w:p>
          <w:p w14:paraId="3DECDFAE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每个模型均可从底座卸下，以便清晰展示病变部位。</w:t>
            </w:r>
          </w:p>
          <w:p w14:paraId="434DE662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三、病变展示</w:t>
            </w:r>
          </w:p>
          <w:p w14:paraId="1E8C2514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展示多种常见先天性心脏病病变，包括但不限于大血管错位、主动脉骑跨、肺动脉狭窄、右室流出道狭窄、膜部缺损（位于室间隔上部三尖瓣下方 ）、房间隔缺损、室间隔缺损。</w:t>
            </w:r>
          </w:p>
          <w:p w14:paraId="01774431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展示室间隔的各类病变，以及完全性房室通道、房室瓣异常等情况。</w:t>
            </w:r>
          </w:p>
          <w:p w14:paraId="710E363E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展示部分罕见的先天性房间隔、室间隔异常病变。</w:t>
            </w:r>
          </w:p>
        </w:tc>
        <w:tc>
          <w:tcPr>
            <w:tcW w:w="460" w:type="pct"/>
            <w:vAlign w:val="center"/>
          </w:tcPr>
          <w:p w14:paraId="04F847AC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24" w:type="pct"/>
            <w:vAlign w:val="center"/>
          </w:tcPr>
          <w:p w14:paraId="7F7B8102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692" w:type="pct"/>
            <w:vAlign w:val="center"/>
          </w:tcPr>
          <w:p w14:paraId="4E84EB91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13C1F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  <w:vAlign w:val="center"/>
          </w:tcPr>
          <w:p w14:paraId="3225FFC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330" w:type="pct"/>
            <w:vAlign w:val="center"/>
          </w:tcPr>
          <w:p w14:paraId="76D27425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</w:rPr>
              <w:t>胎儿心脏血液模型</w:t>
            </w:r>
          </w:p>
        </w:tc>
        <w:tc>
          <w:tcPr>
            <w:tcW w:w="2654" w:type="pct"/>
            <w:vAlign w:val="center"/>
          </w:tcPr>
          <w:p w14:paraId="43A34B27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一、模型规格</w:t>
            </w:r>
          </w:p>
          <w:p w14:paraId="6A86EEFC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为放大模型，利于清晰观察模型细节。</w:t>
            </w:r>
          </w:p>
          <w:p w14:paraId="558B25E4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二、展示内容</w:t>
            </w:r>
          </w:p>
          <w:p w14:paraId="56398EB1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呈现妊娠末期胎儿的心脏形态结构。</w:t>
            </w:r>
          </w:p>
          <w:p w14:paraId="79240798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展示胎儿心脏血循环途径。</w:t>
            </w:r>
          </w:p>
          <w:p w14:paraId="7644569D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三、固定方式</w:t>
            </w:r>
          </w:p>
          <w:p w14:paraId="740FC38F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以稳固的方式固定在底座上，保障模型在使用过程中的稳定性 。</w:t>
            </w:r>
          </w:p>
        </w:tc>
        <w:tc>
          <w:tcPr>
            <w:tcW w:w="460" w:type="pct"/>
            <w:vAlign w:val="center"/>
          </w:tcPr>
          <w:p w14:paraId="2868D6F0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24" w:type="pct"/>
            <w:vAlign w:val="center"/>
          </w:tcPr>
          <w:p w14:paraId="7576229F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692" w:type="pct"/>
            <w:vAlign w:val="center"/>
          </w:tcPr>
          <w:p w14:paraId="544F4850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3CB35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  <w:vAlign w:val="center"/>
          </w:tcPr>
          <w:p w14:paraId="3210AEF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330" w:type="pct"/>
            <w:vAlign w:val="center"/>
          </w:tcPr>
          <w:p w14:paraId="4514CB30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</w:rPr>
              <w:t>新生儿护理模拟人(男婴)</w:t>
            </w:r>
          </w:p>
        </w:tc>
        <w:tc>
          <w:tcPr>
            <w:tcW w:w="2654" w:type="pct"/>
            <w:vAlign w:val="center"/>
          </w:tcPr>
          <w:p w14:paraId="2C9F04BF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一、模型材质</w:t>
            </w:r>
          </w:p>
          <w:p w14:paraId="6B85D4F2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专为男婴护理教学设计，采用高品质材料制作，具备高逼真度和耐用性，能精准模拟真实男新生儿状态。皮肤无缝隙、防水，便于清洁与长期使用。</w:t>
            </w:r>
          </w:p>
          <w:p w14:paraId="084745A6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二、模型功能</w:t>
            </w:r>
          </w:p>
          <w:p w14:paraId="31479CFD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可用于观察男婴精神状态、面色，辅助护理教学，满足针对男婴护理观察的学习需求。</w:t>
            </w:r>
          </w:p>
          <w:p w14:paraId="235E6BC8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支持测量身长、体重、胸围、腹围、头围等常规护理操作，完全符合男婴护理测量的标准要求。</w:t>
            </w:r>
          </w:p>
          <w:p w14:paraId="78599146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能进行抚触操作与简单身体锻炼，满足男婴护理技能训练需求，帮助护理人员掌握男婴护理的抚触技巧和锻炼方法。</w:t>
            </w:r>
          </w:p>
          <w:p w14:paraId="1F271E6C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可选配头发护理功能，头发仿真效果好，满足男婴头发护理教学场景，便于开展相关护理实践。</w:t>
            </w:r>
          </w:p>
          <w:p w14:paraId="3AC6CF9B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三、模型结构</w:t>
            </w:r>
          </w:p>
          <w:p w14:paraId="781733E3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头颈部具备仿生设计，有一定可塑性，托举不当会出现头后仰情况，高度还原男婴身体特征和反应。</w:t>
            </w:r>
          </w:p>
          <w:p w14:paraId="799F9349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耳部耳廓柔软，可完全覆盖耳道，符合男婴耳部生理特点。</w:t>
            </w:r>
          </w:p>
        </w:tc>
        <w:tc>
          <w:tcPr>
            <w:tcW w:w="460" w:type="pct"/>
            <w:vAlign w:val="center"/>
          </w:tcPr>
          <w:p w14:paraId="1DF90EAB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524" w:type="pct"/>
            <w:vAlign w:val="center"/>
          </w:tcPr>
          <w:p w14:paraId="1D7BC75B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692" w:type="pct"/>
            <w:vAlign w:val="center"/>
          </w:tcPr>
          <w:p w14:paraId="5E65731F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4B238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  <w:vAlign w:val="center"/>
          </w:tcPr>
          <w:p w14:paraId="434AB13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330" w:type="pct"/>
            <w:vAlign w:val="center"/>
          </w:tcPr>
          <w:p w14:paraId="237DCF5F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</w:rPr>
              <w:t>新生儿护理模拟人(女婴)</w:t>
            </w:r>
          </w:p>
        </w:tc>
        <w:tc>
          <w:tcPr>
            <w:tcW w:w="2654" w:type="pct"/>
            <w:vAlign w:val="center"/>
          </w:tcPr>
          <w:p w14:paraId="37AB85DA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一、模型材质</w:t>
            </w:r>
          </w:p>
          <w:p w14:paraId="4A3AC181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选用高品质材料制作，具备高逼真度与耐用性，精准模拟真实女新生儿状态。</w:t>
            </w:r>
          </w:p>
          <w:p w14:paraId="4B1E4C60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皮肤无缝隙且防水，便于日常清洁与长期使用，契合女婴护理教学的实际场景。</w:t>
            </w:r>
          </w:p>
          <w:p w14:paraId="6464E8E6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二、模型功能</w:t>
            </w:r>
          </w:p>
          <w:p w14:paraId="0E479A39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可用于观察女婴精神状态、面色，辅助护理教学，满足女婴护理观察的专业需求。</w:t>
            </w:r>
          </w:p>
          <w:p w14:paraId="6BF427F0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支持测量身长、体重、胸围、腹围、头围等常规护理操作，符合女婴护理测量的标准规范。</w:t>
            </w:r>
          </w:p>
          <w:p w14:paraId="10AD1AFA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能进行抚触操作与简单身体锻炼，满足女婴护理技能训练要求，助力护理人员掌握女婴护理的抚触与锻炼技巧。</w:t>
            </w:r>
          </w:p>
          <w:p w14:paraId="5BF094CD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可选配头发护理功能，头发仿真效果好，适用于女婴头发护理教学场景，便于开展实践教学。</w:t>
            </w:r>
          </w:p>
          <w:p w14:paraId="37896E37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三、模型结构</w:t>
            </w:r>
          </w:p>
          <w:p w14:paraId="2E56037B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头颈部采用仿生设计，具有一定可塑性，托举不当会出现头后仰情况，高度还原女婴身体特征和反应。</w:t>
            </w:r>
          </w:p>
          <w:p w14:paraId="4F402860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耳部耳廓柔软，可完全覆盖耳道，贴合女婴耳部生理特点。</w:t>
            </w:r>
          </w:p>
        </w:tc>
        <w:tc>
          <w:tcPr>
            <w:tcW w:w="460" w:type="pct"/>
            <w:vAlign w:val="center"/>
          </w:tcPr>
          <w:p w14:paraId="6A3F5A64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524" w:type="pct"/>
            <w:vAlign w:val="center"/>
          </w:tcPr>
          <w:p w14:paraId="310C98F8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692" w:type="pct"/>
            <w:vAlign w:val="center"/>
          </w:tcPr>
          <w:p w14:paraId="630BAA60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080B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  <w:vAlign w:val="center"/>
          </w:tcPr>
          <w:p w14:paraId="5BFED12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330" w:type="pct"/>
            <w:vAlign w:val="center"/>
          </w:tcPr>
          <w:p w14:paraId="59AACB10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</w:rPr>
              <w:t>沐浴盆</w:t>
            </w:r>
          </w:p>
        </w:tc>
        <w:tc>
          <w:tcPr>
            <w:tcW w:w="2654" w:type="pct"/>
            <w:vAlign w:val="center"/>
          </w:tcPr>
          <w:p w14:paraId="0D544ED9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材质：亚克力；参考尺寸：98*58*82cm。</w:t>
            </w:r>
          </w:p>
        </w:tc>
        <w:tc>
          <w:tcPr>
            <w:tcW w:w="460" w:type="pct"/>
            <w:vAlign w:val="center"/>
          </w:tcPr>
          <w:p w14:paraId="34938C93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24" w:type="pct"/>
            <w:vAlign w:val="center"/>
          </w:tcPr>
          <w:p w14:paraId="12788374">
            <w:pPr>
              <w:spacing w:line="460" w:lineRule="exact"/>
              <w:ind w:firstLine="420"/>
              <w:jc w:val="both"/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692" w:type="pct"/>
            <w:vAlign w:val="center"/>
          </w:tcPr>
          <w:p w14:paraId="5E291759">
            <w:pPr>
              <w:spacing w:line="460" w:lineRule="exact"/>
              <w:ind w:firstLine="420"/>
              <w:jc w:val="both"/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3058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  <w:vAlign w:val="center"/>
          </w:tcPr>
          <w:p w14:paraId="439445C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330" w:type="pct"/>
            <w:vAlign w:val="center"/>
          </w:tcPr>
          <w:p w14:paraId="2A46D032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</w:rPr>
              <w:t>儿童护理模拟人</w:t>
            </w:r>
          </w:p>
        </w:tc>
        <w:tc>
          <w:tcPr>
            <w:tcW w:w="2654" w:type="pct"/>
            <w:vAlign w:val="center"/>
          </w:tcPr>
          <w:p w14:paraId="4CB43C97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一、基础观察功能</w:t>
            </w:r>
          </w:p>
          <w:p w14:paraId="398553A8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可进行双侧瞳孔正常与散大的对比观察。</w:t>
            </w:r>
          </w:p>
          <w:p w14:paraId="4AE735F6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二、医疗护理操作功能</w:t>
            </w:r>
          </w:p>
          <w:p w14:paraId="230E07B8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气道相关：具备逼真的口、鼻、舌等气道结构，支持经口气管插管、吸痰、吸氧等气道管理技术；能进行气管切开护理、指血采集以及 TB 试验。</w:t>
            </w:r>
          </w:p>
          <w:p w14:paraId="6C4AE027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日常护理：涵盖皮肤护理、穿换衣服、口腔护理、耳道清洗、包扎训练、更换尿布、冷热疗法等一般护理操作。</w:t>
            </w:r>
          </w:p>
          <w:p w14:paraId="0F862EDC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注射穿刺：可进行手臂静脉、股静脉、足背静脉的静脉输液 / 穿刺；支持双侧三角肌、双侧股外侧肌的肌肉注射，以及大腿外侧皮下的皮下注射；具备明显体表标志，可模拟骨髓穿刺并呈现骨髓流出效果。</w:t>
            </w:r>
          </w:p>
          <w:p w14:paraId="29C0569C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插管操作：能进行插胃管，用于洗胃、胃肠减压，可通过腹部听诊检测插管位置，插管成功后可抽吸出胃液；可更换男 / 女会阴，进行男 / 女导尿术，以及灌肠操作；支持回肠、直肠、膀胱造瘘口护理。</w:t>
            </w:r>
          </w:p>
          <w:p w14:paraId="52C76A59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三、急救训练功能</w:t>
            </w:r>
          </w:p>
          <w:p w14:paraId="4747C3B4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支持口对口、口对鼻、简易呼吸器对口等多种 CPR 通气方式，能电子监测吹气频率、吹气量、按压次数、按压频率、按压深度 ，且吹气和按压可单项训练。</w:t>
            </w:r>
          </w:p>
          <w:p w14:paraId="272BB565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四、病例模拟系统功能</w:t>
            </w:r>
          </w:p>
          <w:p w14:paraId="52DAB7D6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带有病例模拟训练系统，方便学员查看、新建和删除病例，模拟临床医生编写病例及对应处理措施。</w:t>
            </w:r>
          </w:p>
          <w:p w14:paraId="2BCB65E9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系统内置多种病例，可按编号、系统功能、所属病例、病例情景、年龄段、应对措施技能点等多种方式分类检索，病例可按不同分类列表预览和查看信息。</w:t>
            </w:r>
          </w:p>
          <w:p w14:paraId="351154F7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学员能根据临床思维步骤，对病例进行新增、问诊、体格检查、辅助检查和制定应对措施；病例列表和信息可通过网页样式浏览，支持滑动、放大操作。</w:t>
            </w:r>
          </w:p>
          <w:p w14:paraId="2DD13B0F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可对现有病例进行复制、修改、删除和打印；病例中的主诉、病史、诊断和治疗等文本可排版，并能根据不同年龄段自动设置年龄、身高、体重和照片；每种病例可进行案例点评和应对措施技能点标记。</w:t>
            </w:r>
          </w:p>
        </w:tc>
        <w:tc>
          <w:tcPr>
            <w:tcW w:w="460" w:type="pct"/>
            <w:vAlign w:val="center"/>
          </w:tcPr>
          <w:p w14:paraId="4278FDB3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524" w:type="pct"/>
            <w:vAlign w:val="center"/>
          </w:tcPr>
          <w:p w14:paraId="63BE7FEA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692" w:type="pct"/>
            <w:vAlign w:val="center"/>
          </w:tcPr>
          <w:p w14:paraId="145D5E3B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5792F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  <w:vAlign w:val="center"/>
          </w:tcPr>
          <w:p w14:paraId="1D094B0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330" w:type="pct"/>
            <w:vAlign w:val="center"/>
          </w:tcPr>
          <w:p w14:paraId="0890B240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</w:rPr>
              <w:t>儿童急救模拟人</w:t>
            </w:r>
          </w:p>
        </w:tc>
        <w:tc>
          <w:tcPr>
            <w:tcW w:w="2654" w:type="pct"/>
            <w:vAlign w:val="center"/>
          </w:tcPr>
          <w:p w14:paraId="2BEE355C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一、模型材质与结构</w:t>
            </w:r>
          </w:p>
          <w:p w14:paraId="6C81C563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采用环保无污染的高分子材料制作，解剖标志清晰，能准确触及两乳头、肋骨、胸骨及剑突，方便操作定位。</w:t>
            </w:r>
          </w:p>
          <w:p w14:paraId="497E654B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头颈部解剖位置精准，头部可左右摆动及水平转动 180 度，便于清除口腔异物，下颌关节可活动。</w:t>
            </w:r>
          </w:p>
          <w:p w14:paraId="1100D1AE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设有肺袋锁定装置，能有效固定肺袋位置，防止其整体移动。</w:t>
            </w:r>
          </w:p>
          <w:p w14:paraId="6778B51C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二、体征模拟功能</w:t>
            </w:r>
          </w:p>
          <w:p w14:paraId="1CC8D628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具备瞳孔示教功能，呈现一侧瞳孔散大、一侧瞳孔正常的状态。</w:t>
            </w:r>
          </w:p>
          <w:p w14:paraId="5FCC6DFB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可模拟触及颈动脉搏动。</w:t>
            </w:r>
          </w:p>
          <w:p w14:paraId="40A431E4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三、心肺复苏功能</w:t>
            </w:r>
          </w:p>
          <w:p w14:paraId="761ACD65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严格遵循国际权威心肺复苏标准（如《2020 美国心脏协会心肺复苏与心血管急救指南》或同等标准） ，支持仰头举颏法、仰头抬颈法、双手抬颌法等打开气道的方法。模型气道具备智能反馈，未开放时无法吹进气，口对口人工呼吸或使用简易呼吸器辅助呼吸时，能真实呈现胸廓起伏。</w:t>
            </w:r>
          </w:p>
          <w:p w14:paraId="7D468629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训练模式：配备电子监测系统，可实时监测按压深度、按压位置、按压频率、吹气时间和潮气量，并统计按压正确、错误及频率，吹气正确、错误及时间等数据。通过灯条直观显示按压深度和潮气量状态（黄色过小、绿色正确、红色过大），电子显示器以指示灯提示按压位置偏差（正确、偏上、偏下、偏左、偏右），吹气过大气体进胃时也有指示灯提示，操作全程有语音提示。</w:t>
            </w:r>
          </w:p>
          <w:p w14:paraId="1595D772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考核模式：按照标准的按压与呼吸比例（如 30:2 或最新标准比例）进行胸外按压及人工呼吸考核。同样具备实时监测和数据统计功能，监测内容与训练模式一致，且以相同方式提示按压深度、位置及潮气量状态。</w:t>
            </w:r>
          </w:p>
          <w:p w14:paraId="3076F054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四、配套设施</w:t>
            </w:r>
          </w:p>
          <w:p w14:paraId="1FD9E0D8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配备厚度适宜（如 8mm 或类似合理厚度）的 CPR 专用操作软垫，满足练习和考核需求。</w:t>
            </w:r>
          </w:p>
        </w:tc>
        <w:tc>
          <w:tcPr>
            <w:tcW w:w="460" w:type="pct"/>
            <w:vAlign w:val="center"/>
          </w:tcPr>
          <w:p w14:paraId="4A804D41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524" w:type="pct"/>
            <w:vAlign w:val="center"/>
          </w:tcPr>
          <w:p w14:paraId="72A9D21D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692" w:type="pct"/>
            <w:vAlign w:val="center"/>
          </w:tcPr>
          <w:p w14:paraId="4B636184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7638D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  <w:vAlign w:val="center"/>
          </w:tcPr>
          <w:p w14:paraId="37868AF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330" w:type="pct"/>
            <w:vAlign w:val="center"/>
          </w:tcPr>
          <w:p w14:paraId="3F8E634D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</w:rPr>
              <w:t>脐带护理模型</w:t>
            </w:r>
          </w:p>
        </w:tc>
        <w:tc>
          <w:tcPr>
            <w:tcW w:w="2654" w:type="pct"/>
            <w:vAlign w:val="center"/>
          </w:tcPr>
          <w:p w14:paraId="4EDBCEF7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一、模型材质与外观</w:t>
            </w:r>
          </w:p>
          <w:p w14:paraId="619FBB83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选用环保无污染的高分子材料制作，肤质仿真度高。</w:t>
            </w:r>
          </w:p>
          <w:p w14:paraId="47E96C01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模拟新生婴儿，外表和质感接近真实，可清晰触及前后囟门、冠状缝、矢状缝等解剖特征 。</w:t>
            </w:r>
          </w:p>
          <w:p w14:paraId="60E12CEA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二、脐带功能</w:t>
            </w:r>
          </w:p>
          <w:p w14:paraId="398502F2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脐带内部模拟静脉及动脉有血液流动效果，支持脐静脉采血操作练习。</w:t>
            </w:r>
          </w:p>
          <w:p w14:paraId="3ECED402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可用于新生儿脐带护理及脐带结扎的操作练习。</w:t>
            </w:r>
          </w:p>
          <w:p w14:paraId="1FA81F41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三、综合护理功能</w:t>
            </w:r>
          </w:p>
          <w:p w14:paraId="0FC3C1E1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能开展新生儿抱持、包裹、换尿布、穿衣、擦浴、清洁五官、皮肤护理等多项护理操作练习 ，满足新生儿护理教学的多种场景需求。</w:t>
            </w:r>
          </w:p>
          <w:p w14:paraId="2E6D8383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</w:p>
        </w:tc>
        <w:tc>
          <w:tcPr>
            <w:tcW w:w="460" w:type="pct"/>
            <w:vAlign w:val="center"/>
          </w:tcPr>
          <w:p w14:paraId="70CD8263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524" w:type="pct"/>
            <w:vAlign w:val="center"/>
          </w:tcPr>
          <w:p w14:paraId="6E12F7C2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692" w:type="pct"/>
            <w:vAlign w:val="center"/>
          </w:tcPr>
          <w:p w14:paraId="7120A2EB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3251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  <w:vAlign w:val="center"/>
          </w:tcPr>
          <w:p w14:paraId="6F5D4B8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330" w:type="pct"/>
            <w:vAlign w:val="center"/>
          </w:tcPr>
          <w:p w14:paraId="69272EA4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</w:rPr>
              <w:t>高级婴儿手臂静脉穿刺模型</w:t>
            </w:r>
          </w:p>
        </w:tc>
        <w:tc>
          <w:tcPr>
            <w:tcW w:w="2654" w:type="pct"/>
            <w:vAlign w:val="center"/>
          </w:tcPr>
          <w:p w14:paraId="76A4611A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一、模型规格与材质</w:t>
            </w:r>
          </w:p>
          <w:p w14:paraId="1B2E17DC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参照婴儿手臂尺寸制作，尺寸接近真实婴儿手臂，皮肤材质柔软，同时骨性标志清晰，便于定位操作。</w:t>
            </w:r>
          </w:p>
          <w:p w14:paraId="52561EAC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二、功能要求</w:t>
            </w:r>
          </w:p>
          <w:p w14:paraId="4CE39ED3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手臂关节具备一定灵活性，例如手背可弯曲，支持手背静脉穿刺、抽血、输液等操作。</w:t>
            </w:r>
          </w:p>
          <w:p w14:paraId="5350E589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在进行穿刺操作时，能模拟出明显的落空感，并产生回血效果，以高度模拟真实穿刺体验。</w:t>
            </w:r>
          </w:p>
          <w:p w14:paraId="61828D49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三、维护便利性</w:t>
            </w:r>
          </w:p>
          <w:p w14:paraId="7CB45F77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具备方便更换外皮和血管的设计，可降低长期使用成本，延长模型使用寿命。</w:t>
            </w:r>
          </w:p>
        </w:tc>
        <w:tc>
          <w:tcPr>
            <w:tcW w:w="460" w:type="pct"/>
            <w:vAlign w:val="center"/>
          </w:tcPr>
          <w:p w14:paraId="36AF5708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524" w:type="pct"/>
            <w:vAlign w:val="center"/>
          </w:tcPr>
          <w:p w14:paraId="033322EE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692" w:type="pct"/>
            <w:vAlign w:val="center"/>
          </w:tcPr>
          <w:p w14:paraId="45DD8F0A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7E2F2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  <w:vAlign w:val="center"/>
          </w:tcPr>
          <w:p w14:paraId="0FEA2DA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330" w:type="pct"/>
            <w:vAlign w:val="center"/>
          </w:tcPr>
          <w:p w14:paraId="25E52147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</w:rPr>
              <w:t>子宫解剖模型</w:t>
            </w:r>
          </w:p>
        </w:tc>
        <w:tc>
          <w:tcPr>
            <w:tcW w:w="2654" w:type="pct"/>
            <w:vAlign w:val="center"/>
          </w:tcPr>
          <w:p w14:paraId="02344482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一、结构展示</w:t>
            </w:r>
          </w:p>
          <w:p w14:paraId="2A34D465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模型展示子宫的三层结构，清晰呈现子宫内部构造。</w:t>
            </w:r>
          </w:p>
          <w:p w14:paraId="47C4DDC4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展示子宫腔、阴道穹隆，体现二者的位置关系。</w:t>
            </w:r>
          </w:p>
          <w:p w14:paraId="667C8616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呈现一侧卵巢、输卵管各部与子宫阔韧带的关系，帮助理解生殖系统的解剖联系。</w:t>
            </w:r>
          </w:p>
          <w:p w14:paraId="681D3444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另一侧卵巢剖面展示黄体、卵泡等结构，同时展示子宫血管及子宫圆韧带等，全面展示子宫周边的关键结构。</w:t>
            </w:r>
          </w:p>
        </w:tc>
        <w:tc>
          <w:tcPr>
            <w:tcW w:w="460" w:type="pct"/>
            <w:vAlign w:val="center"/>
          </w:tcPr>
          <w:p w14:paraId="26459D09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524" w:type="pct"/>
            <w:vAlign w:val="center"/>
          </w:tcPr>
          <w:p w14:paraId="47C0CF30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692" w:type="pct"/>
            <w:vAlign w:val="center"/>
          </w:tcPr>
          <w:p w14:paraId="2BC4E0BC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0341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  <w:vAlign w:val="center"/>
          </w:tcPr>
          <w:p w14:paraId="2FEC3F1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330" w:type="pct"/>
            <w:vAlign w:val="center"/>
          </w:tcPr>
          <w:p w14:paraId="153CF79A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</w:rPr>
              <w:t>正常与病理子宫对比模型</w:t>
            </w:r>
          </w:p>
        </w:tc>
        <w:tc>
          <w:tcPr>
            <w:tcW w:w="2654" w:type="pct"/>
            <w:vAlign w:val="center"/>
          </w:tcPr>
          <w:p w14:paraId="5C5429F5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一、模型组成</w:t>
            </w:r>
          </w:p>
          <w:p w14:paraId="23DA72A0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由正常子宫与病理子宫两个部件构成，稳定放置于底座上，便于展示与观察。</w:t>
            </w:r>
          </w:p>
          <w:p w14:paraId="0E6C16B4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二、功能要求</w:t>
            </w:r>
          </w:p>
          <w:p w14:paraId="63AFC22B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作为对比模型，清晰呈现正常子宫与病理子宫的形态差异。</w:t>
            </w:r>
          </w:p>
          <w:p w14:paraId="68B8D019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病理子宫能展示多种常见病理形态，如粘连、癌症（涵盖多个常见区域）、囊肿、子宫内膜异位症、肌瘤、带蒂肌瘤、息肉、输卵管炎等，满足教学与研究需求。</w:t>
            </w:r>
          </w:p>
          <w:p w14:paraId="15143F2D">
            <w:pPr>
              <w:spacing w:line="400" w:lineRule="exact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bookmarkStart w:id="2" w:name="_GoBack"/>
            <w:bookmarkEnd w:id="2"/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三、材质要求</w:t>
            </w:r>
          </w:p>
          <w:p w14:paraId="633F71B6">
            <w:pPr>
              <w:spacing w:line="4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采用环保材料制作，包含环保的 PVC 材料以及环保油漆，确保使用安全，不产生有害物质。</w:t>
            </w:r>
          </w:p>
        </w:tc>
        <w:tc>
          <w:tcPr>
            <w:tcW w:w="460" w:type="pct"/>
            <w:vAlign w:val="center"/>
          </w:tcPr>
          <w:p w14:paraId="4B6201E7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524" w:type="pct"/>
            <w:vAlign w:val="center"/>
          </w:tcPr>
          <w:p w14:paraId="30990FDA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  <w:tc>
          <w:tcPr>
            <w:tcW w:w="692" w:type="pct"/>
            <w:vAlign w:val="center"/>
          </w:tcPr>
          <w:p w14:paraId="22647B4D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  <w:tr w14:paraId="6410D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pct"/>
            <w:gridSpan w:val="3"/>
            <w:vAlign w:val="center"/>
          </w:tcPr>
          <w:p w14:paraId="3E61F0F8">
            <w:pPr>
              <w:spacing w:line="46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合计总价</w:t>
            </w:r>
          </w:p>
        </w:tc>
        <w:tc>
          <w:tcPr>
            <w:tcW w:w="1677" w:type="pct"/>
            <w:gridSpan w:val="3"/>
            <w:vAlign w:val="center"/>
          </w:tcPr>
          <w:p w14:paraId="1A7444C1">
            <w:pPr>
              <w:spacing w:line="460" w:lineRule="exact"/>
              <w:ind w:firstLine="420"/>
              <w:jc w:val="both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</w:p>
        </w:tc>
      </w:tr>
    </w:tbl>
    <w:p w14:paraId="51C1CE53">
      <w:pPr>
        <w:spacing w:line="360" w:lineRule="auto"/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</w:rPr>
      </w:pPr>
    </w:p>
    <w:p w14:paraId="53CC48B7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auto"/>
          <w:u w:color="222222"/>
          <w:shd w:val="clear" w:color="auto" w:fill="FFFFFF"/>
        </w:rPr>
        <w:t>说明：</w:t>
      </w:r>
    </w:p>
    <w:p w14:paraId="28F0031B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  <w:u w:color="222222"/>
          <w:shd w:val="clear" w:color="auto" w:fill="FFFFFF"/>
        </w:rPr>
        <w:t>1.</w:t>
      </w:r>
      <w:r>
        <w:rPr>
          <w:rFonts w:hint="eastAsia" w:cs="宋体" w:asciiTheme="minorEastAsia" w:hAnsiTheme="minorEastAsia" w:eastAsiaTheme="minorEastAsia"/>
          <w:color w:val="auto"/>
        </w:rPr>
        <w:t>报价包含：</w:t>
      </w:r>
      <w:r>
        <w:rPr>
          <w:rFonts w:hint="eastAsia" w:cs="宋体" w:asciiTheme="minorEastAsia" w:hAnsiTheme="minorEastAsia" w:eastAsiaTheme="minorEastAsia"/>
          <w:b w:val="0"/>
          <w:bCs w:val="0"/>
          <w:color w:val="auto"/>
          <w:lang w:val="en-US" w:eastAsia="zh-CN"/>
        </w:rPr>
        <w:t>设计费、设备费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、</w:t>
      </w:r>
      <w:r>
        <w:rPr>
          <w:rFonts w:hint="eastAsia" w:cs="宋体" w:asciiTheme="minorEastAsia" w:hAnsiTheme="minorEastAsia" w:eastAsiaTheme="minorEastAsia"/>
          <w:color w:val="auto"/>
        </w:rPr>
        <w:t>人工费、安装费、运输费、管理费、风险费、材料费、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维护费、</w:t>
      </w:r>
      <w:r>
        <w:rPr>
          <w:rFonts w:hint="eastAsia" w:cs="宋体" w:asciiTheme="minorEastAsia" w:hAnsiTheme="minorEastAsia" w:eastAsiaTheme="minorEastAsia"/>
          <w:color w:val="auto"/>
        </w:rPr>
        <w:t>税费等一切费用。</w:t>
      </w:r>
    </w:p>
    <w:p w14:paraId="59412F50"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2.报价人须提供详细的价格组成明细及产品参数。</w:t>
      </w:r>
    </w:p>
    <w:p w14:paraId="2875E2F2"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3.重点提示：报价明细必须附相应的产品图片。</w:t>
      </w:r>
    </w:p>
    <w:p w14:paraId="5861A572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auto"/>
        </w:rPr>
        <w:t>.付款方式：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验收合格后支付95%，</w:t>
      </w:r>
      <w:r>
        <w:rPr>
          <w:rFonts w:hint="eastAsia" w:cs="宋体" w:asciiTheme="minorEastAsia" w:hAnsiTheme="minorEastAsia" w:eastAsiaTheme="minorEastAsia"/>
          <w:color w:val="auto"/>
        </w:rPr>
        <w:t>留质保金5%，质保期满后支付。</w:t>
      </w:r>
    </w:p>
    <w:p w14:paraId="50A54D77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auto"/>
        </w:rPr>
        <w:t>.质保期</w:t>
      </w:r>
      <w:r>
        <w:rPr>
          <w:rFonts w:hint="eastAsia" w:cs="宋体" w:asciiTheme="minorEastAsia" w:hAnsiTheme="minorEastAsia" w:eastAsiaTheme="minorEastAsia"/>
          <w:color w:val="auto"/>
          <w:u w:val="single"/>
        </w:rPr>
        <w:t xml:space="preserve">     </w:t>
      </w:r>
      <w:r>
        <w:rPr>
          <w:rFonts w:hint="eastAsia" w:cs="宋体" w:asciiTheme="minorEastAsia" w:hAnsiTheme="minorEastAsia" w:eastAsiaTheme="minorEastAsia"/>
          <w:color w:val="auto"/>
        </w:rPr>
        <w:t>年，到货周期</w:t>
      </w:r>
      <w:r>
        <w:rPr>
          <w:rFonts w:hint="eastAsia" w:cs="宋体" w:asciiTheme="minorEastAsia" w:hAnsiTheme="minorEastAsia" w:eastAsiaTheme="minorEastAsia"/>
          <w:color w:val="auto"/>
          <w:u w:val="single"/>
        </w:rPr>
        <w:t xml:space="preserve">       </w:t>
      </w:r>
      <w:r>
        <w:rPr>
          <w:rFonts w:hint="eastAsia" w:cs="宋体" w:asciiTheme="minorEastAsia" w:hAnsiTheme="minorEastAsia" w:eastAsiaTheme="minorEastAsia"/>
          <w:color w:val="auto"/>
        </w:rPr>
        <w:t>日历天。</w:t>
      </w:r>
    </w:p>
    <w:p w14:paraId="4D469E6A">
      <w:pPr>
        <w:spacing w:line="360" w:lineRule="auto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二、报价方式：竞价谈判；</w:t>
      </w:r>
    </w:p>
    <w:p w14:paraId="7C6E5724">
      <w:pPr>
        <w:spacing w:line="360" w:lineRule="auto"/>
        <w:ind w:firstLine="422" w:firstLineChars="200"/>
        <w:rPr>
          <w:rFonts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>三、合格竞谈方的要求</w:t>
      </w:r>
    </w:p>
    <w:p w14:paraId="74409452">
      <w:pPr>
        <w:spacing w:line="360" w:lineRule="auto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1.营业执照要求：</w:t>
      </w:r>
    </w:p>
    <w:p w14:paraId="466900E3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报价人须具备经国家市场监督管理部门登记注册的独立企业（事业）法人或其它组织或自然人，必须具备有效的营业执照。</w:t>
      </w:r>
    </w:p>
    <w:p w14:paraId="45BE8F3F">
      <w:pPr>
        <w:spacing w:line="360" w:lineRule="auto"/>
        <w:ind w:firstLine="422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2.财务状况要求：</w:t>
      </w:r>
    </w:p>
    <w:p w14:paraId="169C07D8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报价人财务状况良好，提供近三年的审计报告及审计过的财务报表，并加盖公司公章。</w:t>
      </w:r>
    </w:p>
    <w:p w14:paraId="12291787">
      <w:pPr>
        <w:spacing w:line="360" w:lineRule="auto"/>
        <w:ind w:firstLine="422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3.信用要求：</w:t>
      </w:r>
    </w:p>
    <w:p w14:paraId="604E3A59">
      <w:pPr>
        <w:spacing w:line="360" w:lineRule="auto"/>
        <w:ind w:firstLine="420" w:firstLineChars="200"/>
        <w:jc w:val="both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未被列入失信被执行人、重大税收违法案件当事人、政府采购严重违法失信行为记录名单的报价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屏时间必须在公告发出日到响应文件递交日的期间内。</w:t>
      </w:r>
    </w:p>
    <w:p w14:paraId="4E2217D4">
      <w:pPr>
        <w:spacing w:line="360" w:lineRule="auto"/>
        <w:ind w:firstLine="422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4.竟谈文件附件清单如下：</w:t>
      </w:r>
    </w:p>
    <w:p w14:paraId="1F3E12C2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包含但不限于以下材料，均应加盖公章。</w:t>
      </w:r>
      <w:r>
        <w:rPr>
          <w:rFonts w:hint="eastAsia" w:cs="宋体" w:asciiTheme="minorEastAsia" w:hAnsiTheme="minorEastAsia" w:eastAsiaTheme="minorEastAsia"/>
          <w:b/>
          <w:color w:val="auto"/>
        </w:rPr>
        <w:t>商务部分和技术部分分开装订、分别进行密封，技术部分不得体现报价。</w:t>
      </w:r>
      <w:r>
        <w:rPr>
          <w:rFonts w:hint="eastAsia" w:cs="宋体" w:asciiTheme="minorEastAsia" w:hAnsiTheme="minorEastAsia" w:eastAsiaTheme="minorEastAsia"/>
          <w:color w:val="auto"/>
        </w:rPr>
        <w:t>商务部分，技术部分的首页均需制作目录：</w:t>
      </w:r>
    </w:p>
    <w:p w14:paraId="273BB24F">
      <w:pPr>
        <w:pStyle w:val="21"/>
        <w:numPr>
          <w:ilvl w:val="0"/>
          <w:numId w:val="2"/>
        </w:numPr>
        <w:spacing w:line="360" w:lineRule="auto"/>
        <w:ind w:firstLineChars="0"/>
        <w:rPr>
          <w:rFonts w:cs="宋体" w:asciiTheme="minorEastAsia" w:hAnsiTheme="minorEastAsia" w:eastAsiaTheme="minorEastAsia"/>
          <w:b/>
          <w:color w:val="auto"/>
        </w:rPr>
      </w:pPr>
      <w:r>
        <w:rPr>
          <w:rFonts w:hint="eastAsia" w:cs="宋体" w:asciiTheme="minorEastAsia" w:hAnsiTheme="minorEastAsia" w:eastAsiaTheme="minorEastAsia"/>
          <w:b/>
          <w:color w:val="auto"/>
        </w:rPr>
        <w:t>技术部分（独立封装）</w:t>
      </w:r>
    </w:p>
    <w:tbl>
      <w:tblPr>
        <w:tblStyle w:val="9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5"/>
      </w:tblGrid>
      <w:tr w14:paraId="5C348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925A1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1.产品品牌及详细参数、方案、到货及安装周期、质保期</w:t>
            </w:r>
          </w:p>
        </w:tc>
      </w:tr>
      <w:tr w14:paraId="7DB54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267C3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2.公司近两年业绩介绍，附中标通知或合同</w:t>
            </w:r>
          </w:p>
        </w:tc>
      </w:tr>
      <w:tr w14:paraId="4F199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E9E32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3.无不良记录承诺书</w:t>
            </w:r>
          </w:p>
        </w:tc>
      </w:tr>
      <w:tr w14:paraId="6C42A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D76B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  <w:lang w:val="zh-TW" w:eastAsia="zh-TW"/>
              </w:rPr>
              <w:t>近三年的审计报告及审计过的财务报表</w:t>
            </w:r>
          </w:p>
        </w:tc>
      </w:tr>
      <w:tr w14:paraId="11D61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40193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5.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  <w:lang w:val="zh-TW" w:eastAsia="zh-TW"/>
              </w:rPr>
              <w:t>近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三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  <w:lang w:val="zh-TW" w:eastAsia="zh-TW"/>
              </w:rPr>
              <w:t>年（12月份）增值税完税证明</w:t>
            </w:r>
          </w:p>
        </w:tc>
      </w:tr>
      <w:tr w14:paraId="0EC35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52FBA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6.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  <w:lang w:val="zh-TW" w:eastAsia="zh-TW"/>
              </w:rPr>
              <w:t>售后服务承诺书、质量保证承诺书</w:t>
            </w:r>
          </w:p>
        </w:tc>
      </w:tr>
    </w:tbl>
    <w:p w14:paraId="30B242EF">
      <w:pPr>
        <w:pStyle w:val="21"/>
        <w:spacing w:line="360" w:lineRule="auto"/>
        <w:ind w:left="1140" w:firstLine="0" w:firstLineChars="0"/>
        <w:rPr>
          <w:rFonts w:cs="宋体" w:asciiTheme="minorEastAsia" w:hAnsiTheme="minorEastAsia" w:eastAsiaTheme="minorEastAsia"/>
          <w:color w:val="auto"/>
        </w:rPr>
      </w:pPr>
    </w:p>
    <w:p w14:paraId="1E2811F6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（2）</w:t>
      </w:r>
      <w:r>
        <w:rPr>
          <w:rFonts w:hint="eastAsia" w:cs="宋体" w:asciiTheme="minorEastAsia" w:hAnsiTheme="minorEastAsia" w:eastAsiaTheme="minorEastAsia"/>
          <w:b/>
          <w:color w:val="auto"/>
        </w:rPr>
        <w:t>商务部分（独立封装）</w:t>
      </w:r>
    </w:p>
    <w:tbl>
      <w:tblPr>
        <w:tblStyle w:val="9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8"/>
        <w:gridCol w:w="5560"/>
      </w:tblGrid>
      <w:tr w14:paraId="062AE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3526C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1.报价一览表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0CB42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2.分项报价表</w:t>
            </w:r>
          </w:p>
        </w:tc>
      </w:tr>
      <w:tr w14:paraId="51970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4F210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3.法定代表人资格证明书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4CA16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4.法定代表人授权委托书件</w:t>
            </w:r>
          </w:p>
        </w:tc>
      </w:tr>
      <w:tr w14:paraId="2827F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AAF18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5.资质证明文件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BF155">
            <w:pPr>
              <w:spacing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0"/>
                <w:szCs w:val="20"/>
              </w:rPr>
              <w:t>.报价人基本情况表</w:t>
            </w:r>
          </w:p>
        </w:tc>
      </w:tr>
    </w:tbl>
    <w:p w14:paraId="2816A770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</w:p>
    <w:p w14:paraId="0A4BE4EC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（</w:t>
      </w:r>
      <w:r>
        <w:rPr>
          <w:rFonts w:cs="宋体" w:asciiTheme="minorEastAsia" w:hAnsiTheme="minorEastAsia" w:eastAsiaTheme="minorEastAsia"/>
          <w:color w:val="auto"/>
        </w:rPr>
        <w:t>3</w:t>
      </w:r>
      <w:r>
        <w:rPr>
          <w:rFonts w:hint="eastAsia" w:cs="宋体" w:asciiTheme="minorEastAsia" w:hAnsiTheme="minorEastAsia" w:eastAsiaTheme="minorEastAsia"/>
          <w:color w:val="auto"/>
        </w:rPr>
        <w:t>）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竞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谈文件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请同时提供：纸质版一式</w:t>
      </w:r>
      <w:r>
        <w:rPr>
          <w:rFonts w:hint="eastAsia" w:cs="宋体" w:asciiTheme="minorEastAsia" w:hAnsiTheme="minorEastAsia" w:eastAsiaTheme="minorEastAsia"/>
          <w:color w:val="auto"/>
        </w:rPr>
        <w:t>四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份（一正</w:t>
      </w:r>
      <w:r>
        <w:rPr>
          <w:rFonts w:hint="eastAsia" w:cs="宋体" w:asciiTheme="minorEastAsia" w:hAnsiTheme="minorEastAsia" w:eastAsiaTheme="minorEastAsia"/>
          <w:color w:val="auto"/>
        </w:rPr>
        <w:t>三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副）、电子版一份（U盘）装入密封文件袋并在文件袋上标注联系人电话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。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竞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谈文件</w:t>
      </w:r>
      <w:r>
        <w:rPr>
          <w:rFonts w:hint="eastAsia" w:cs="宋体" w:asciiTheme="minorEastAsia" w:hAnsiTheme="minorEastAsia" w:eastAsiaTheme="minorEastAsia"/>
          <w:color w:val="auto"/>
        </w:rPr>
        <w:t>须用封套加以密封，在封口处盖骑缝公章。</w:t>
      </w:r>
      <w:bookmarkStart w:id="0" w:name="OLE_LINK1"/>
      <w:bookmarkStart w:id="1" w:name="OLE_LINK2"/>
      <w:r>
        <w:rPr>
          <w:rFonts w:hint="eastAsia" w:cs="宋体" w:asciiTheme="minorEastAsia" w:hAnsiTheme="minorEastAsia" w:eastAsiaTheme="minorEastAsia"/>
          <w:color w:val="auto"/>
        </w:rPr>
        <w:t>商务部分和技术部分分开装订、分别进行密封，技术部分不得体现报价。</w:t>
      </w:r>
      <w:bookmarkEnd w:id="0"/>
      <w:bookmarkEnd w:id="1"/>
    </w:p>
    <w:p w14:paraId="17BC1B0C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（</w:t>
      </w:r>
      <w:r>
        <w:rPr>
          <w:rFonts w:cs="宋体" w:asciiTheme="minorEastAsia" w:hAnsiTheme="minorEastAsia" w:eastAsiaTheme="minorEastAsia"/>
          <w:color w:val="auto"/>
        </w:rPr>
        <w:t>4</w:t>
      </w:r>
      <w:r>
        <w:rPr>
          <w:rFonts w:hint="eastAsia" w:cs="宋体" w:asciiTheme="minorEastAsia" w:hAnsiTheme="minorEastAsia" w:eastAsiaTheme="minorEastAsia"/>
          <w:color w:val="auto"/>
        </w:rPr>
        <w:t>）未执行上述规定的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竞</w:t>
      </w:r>
      <w:r>
        <w:rPr>
          <w:rFonts w:hint="eastAsia" w:cs="宋体" w:asciiTheme="minorEastAsia" w:hAnsiTheme="minorEastAsia" w:eastAsiaTheme="minorEastAsia"/>
          <w:color w:val="auto"/>
        </w:rPr>
        <w:t>谈文件，将被视为无效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竞</w:t>
      </w:r>
      <w:r>
        <w:rPr>
          <w:rFonts w:hint="eastAsia" w:cs="宋体" w:asciiTheme="minorEastAsia" w:hAnsiTheme="minorEastAsia" w:eastAsiaTheme="minorEastAsia"/>
          <w:color w:val="auto"/>
        </w:rPr>
        <w:t>谈文件。</w:t>
      </w:r>
    </w:p>
    <w:p w14:paraId="7D7198A4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auto"/>
          <w:lang w:val="zh-TW"/>
        </w:rPr>
      </w:pPr>
      <w:r>
        <w:rPr>
          <w:rFonts w:hint="eastAsia" w:cs="宋体" w:asciiTheme="minorEastAsia" w:hAnsiTheme="minorEastAsia" w:eastAsiaTheme="minorEastAsia"/>
          <w:color w:val="auto"/>
        </w:rPr>
        <w:t>（</w:t>
      </w:r>
      <w:r>
        <w:rPr>
          <w:rFonts w:cs="宋体" w:asciiTheme="minorEastAsia" w:hAnsiTheme="minorEastAsia" w:eastAsiaTheme="minorEastAsia"/>
          <w:color w:val="auto"/>
        </w:rPr>
        <w:t>5</w:t>
      </w:r>
      <w:r>
        <w:rPr>
          <w:rFonts w:hint="eastAsia" w:cs="宋体" w:asciiTheme="minorEastAsia" w:hAnsiTheme="minorEastAsia" w:eastAsiaTheme="minorEastAsia"/>
          <w:color w:val="auto"/>
        </w:rPr>
        <w:t>）本公司保留第一次评审后，根据实际情况有可能进行补充询价及二次评审的权利。</w:t>
      </w:r>
    </w:p>
    <w:p w14:paraId="31C9C7EE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四、其他说明</w:t>
      </w:r>
    </w:p>
    <w:p w14:paraId="294DEC0F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1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.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本谈判文件提出的各个参数仅作参考，不作为本次采购的唯一参数，在同等级的情况下，优先考虑报价低的公司。</w:t>
      </w:r>
    </w:p>
    <w:p w14:paraId="573B2CE1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2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.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参与竞价的公司可提供等效替代品，条件是满足或正偏离需求产品的功能、性能要求，且价格不得高于原需求产品。</w:t>
      </w:r>
    </w:p>
    <w:p w14:paraId="1AF9692A">
      <w:pPr>
        <w:spacing w:line="400" w:lineRule="exact"/>
        <w:ind w:firstLine="420" w:firstLineChars="200"/>
        <w:rPr>
          <w:rFonts w:hint="eastAsia"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.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为保证竞价谈判质量，请</w:t>
      </w:r>
      <w:r>
        <w:rPr>
          <w:rFonts w:hint="eastAsia" w:cs="宋体" w:asciiTheme="minorEastAsia" w:hAnsiTheme="minorEastAsia" w:eastAsiaTheme="minorEastAsia"/>
          <w:color w:val="auto"/>
        </w:rPr>
        <w:t>参与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竞价的公司技术人员和商务人员同时到场参加谈判。</w:t>
      </w:r>
    </w:p>
    <w:p w14:paraId="5070D2F4">
      <w:pPr>
        <w:spacing w:line="400" w:lineRule="exact"/>
        <w:ind w:firstLine="420" w:firstLineChars="200"/>
        <w:rPr>
          <w:rFonts w:hint="eastAsia"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 xml:space="preserve">4.竞价公司请携带具有代表性的产品样品参加，以便更好展示产品性能与优势。 </w:t>
      </w:r>
    </w:p>
    <w:p w14:paraId="6B4AE2FB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.本项目代理服务费由中标人支付。收费标准：参照“国家计委关于印发《招标代理服务收费管理暂行办法》的通知（计价格〔2002〕1980号）”与“国家发展改革委办公厅关于招标代理服务收费有关问题的通知（发改办价格〔2003〕857号）”的要求及规定的标准计算后向中标单位收取代理服务费。</w:t>
      </w:r>
    </w:p>
    <w:p w14:paraId="246AE049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五、竞谈文件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投递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和评审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</w:p>
    <w:p w14:paraId="09565511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1.竞谈文件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投递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</w:p>
    <w:p w14:paraId="4E6BDE41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  <w:highlight w:val="yello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（1）文件递交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截止时间：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202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年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月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12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日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下午16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:</w:t>
      </w:r>
      <w:r>
        <w:rPr>
          <w:rFonts w:hint="eastAsia" w:cs="宋体" w:asciiTheme="minorEastAsia" w:hAnsiTheme="minorEastAsia" w:eastAsiaTheme="minorEastAsia"/>
          <w:color w:val="auto"/>
        </w:rPr>
        <w:t>0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0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。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(可提前提交)</w:t>
      </w:r>
    </w:p>
    <w:p w14:paraId="300FCADA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  <w:highlight w:val="yellow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（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2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）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文件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递交地点：云南省昆明市五华区海屯路296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号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，云南医药健康职业学院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（海源校区）综合楼8楼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。</w:t>
      </w:r>
    </w:p>
    <w:p w14:paraId="297FC7A0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2.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评审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</w:p>
    <w:p w14:paraId="669BC77D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color w:val="auto"/>
          <w:lang w:val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（1）竞谈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评审时间：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202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年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月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13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日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上午9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: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30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。</w:t>
      </w:r>
    </w:p>
    <w:p w14:paraId="7D385E2E">
      <w:pPr>
        <w:spacing w:line="400" w:lineRule="exact"/>
        <w:ind w:firstLine="422" w:firstLineChars="200"/>
        <w:rPr>
          <w:rFonts w:cs="宋体" w:asciiTheme="minorEastAsia" w:hAnsiTheme="minorEastAsia" w:eastAsiaTheme="minorEastAsia"/>
          <w:b/>
          <w:bCs/>
          <w:color w:val="auto"/>
          <w:lang w:val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（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2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）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竞谈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评审地点：云南省昆明市五华区海屯路296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号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，云南医药健康职业学院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（海源校区）综合楼8楼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会议室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。</w:t>
      </w:r>
    </w:p>
    <w:p w14:paraId="76D61C8B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.联系方式</w:t>
      </w:r>
    </w:p>
    <w:p w14:paraId="72EE9539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（1）</w:t>
      </w:r>
      <w:r>
        <w:rPr>
          <w:rFonts w:hint="eastAsia" w:cs="宋体" w:asciiTheme="minorEastAsia" w:hAnsiTheme="minorEastAsia" w:eastAsiaTheme="minorEastAsia"/>
          <w:color w:val="auto"/>
        </w:rPr>
        <w:t>项目负责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人：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崔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老师</w:t>
      </w:r>
      <w:r>
        <w:rPr>
          <w:rFonts w:cs="宋体" w:asciiTheme="minorEastAsia" w:hAnsiTheme="minorEastAsia" w:eastAsiaTheme="minorEastAsia"/>
          <w:color w:val="auto"/>
        </w:rPr>
        <w:t xml:space="preserve"> 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13888026212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 w14:paraId="523F3ECF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/>
        </w:rPr>
        <w:t>（</w:t>
      </w:r>
      <w:r>
        <w:rPr>
          <w:rFonts w:hint="eastAsia" w:cs="宋体" w:asciiTheme="minorEastAsia" w:hAnsiTheme="minorEastAsia" w:eastAsiaTheme="minorEastAsia"/>
          <w:color w:val="auto"/>
        </w:rPr>
        <w:t>2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）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采购</w:t>
      </w:r>
      <w:r>
        <w:rPr>
          <w:rFonts w:hint="eastAsia" w:cs="宋体" w:asciiTheme="minorEastAsia" w:hAnsiTheme="minorEastAsia" w:eastAsiaTheme="minorEastAsia"/>
          <w:color w:val="auto"/>
        </w:rPr>
        <w:t>单位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联系电话：杨老师15368090913。</w:t>
      </w:r>
    </w:p>
    <w:p w14:paraId="2C513EEC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（</w:t>
      </w:r>
      <w:r>
        <w:rPr>
          <w:rFonts w:hint="eastAsia" w:cs="宋体" w:asciiTheme="minorEastAsia" w:hAnsiTheme="minorEastAsia" w:eastAsiaTheme="minorEastAsia"/>
          <w:color w:val="auto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）招标代理联系电话：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翟老师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0871-68330090/</w:t>
      </w:r>
      <w:r>
        <w:t xml:space="preserve"> </w:t>
      </w:r>
      <w:r>
        <w:rPr>
          <w:rFonts w:cs="宋体" w:asciiTheme="minorEastAsia" w:hAnsiTheme="minorEastAsia" w:eastAsiaTheme="minorEastAsia"/>
          <w:color w:val="auto"/>
        </w:rPr>
        <w:t>18388287989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 w14:paraId="47C7D972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（</w:t>
      </w:r>
      <w:r>
        <w:rPr>
          <w:rFonts w:hint="eastAsia" w:cs="宋体" w:asciiTheme="minorEastAsia" w:hAnsiTheme="minorEastAsia" w:eastAsiaTheme="minorEastAsia"/>
          <w:color w:val="auto"/>
        </w:rPr>
        <w:t>4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）</w:t>
      </w:r>
      <w:r>
        <w:rPr>
          <w:rFonts w:hint="eastAsia" w:cs="宋体" w:asciiTheme="minorEastAsia" w:hAnsiTheme="minorEastAsia" w:eastAsiaTheme="minorEastAsia"/>
          <w:color w:val="auto"/>
        </w:rPr>
        <w:t>监审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联系电话：</w:t>
      </w:r>
      <w:r>
        <w:rPr>
          <w:rFonts w:hint="eastAsia" w:cs="宋体" w:asciiTheme="minorEastAsia" w:hAnsiTheme="minorEastAsia" w:eastAsiaTheme="minorEastAsia"/>
          <w:color w:val="auto"/>
        </w:rPr>
        <w:t>王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老师</w:t>
      </w:r>
      <w:r>
        <w:rPr>
          <w:rFonts w:cs="宋体" w:asciiTheme="minorEastAsia" w:hAnsiTheme="minorEastAsia" w:eastAsiaTheme="minorEastAsia"/>
          <w:color w:val="auto"/>
        </w:rPr>
        <w:t>18487241976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 w14:paraId="0192333F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</w:p>
    <w:p w14:paraId="7E419D39">
      <w:pPr>
        <w:wordWrap w:val="0"/>
        <w:spacing w:line="400" w:lineRule="exact"/>
        <w:ind w:firstLine="420" w:firstLineChars="200"/>
        <w:jc w:val="right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采购单位：云南医药健康职业学院</w:t>
      </w:r>
    </w:p>
    <w:p w14:paraId="2CB8F2C0">
      <w:pPr>
        <w:spacing w:line="400" w:lineRule="exact"/>
        <w:ind w:firstLine="420" w:firstLineChars="200"/>
        <w:jc w:val="right"/>
        <w:rPr>
          <w:rFonts w:cs="宋体" w:asciiTheme="minorEastAsia" w:hAnsiTheme="minorEastAsia" w:eastAsiaTheme="minorEastAsia"/>
          <w:color w:val="auto"/>
          <w:lang w:val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招标代理</w:t>
      </w:r>
      <w:r>
        <w:rPr>
          <w:rFonts w:cs="宋体" w:asciiTheme="minorEastAsia" w:hAnsiTheme="minorEastAsia" w:eastAsiaTheme="minorEastAsia"/>
          <w:color w:val="auto"/>
          <w:lang w:val="zh-TW" w:eastAsia="zh-TW"/>
        </w:rPr>
        <w:t>机构：云南景通招标代理有限公司</w:t>
      </w:r>
    </w:p>
    <w:p w14:paraId="4C98F243">
      <w:pPr>
        <w:wordWrap w:val="0"/>
        <w:spacing w:line="400" w:lineRule="exact"/>
        <w:ind w:firstLine="420" w:firstLineChars="200"/>
        <w:jc w:val="right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</w:rPr>
        <w:t xml:space="preserve">                                              202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年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月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日</w:t>
      </w:r>
    </w:p>
    <w:sectPr>
      <w:footerReference r:id="rId3" w:type="default"/>
      <w:pgSz w:w="11900" w:h="16840"/>
      <w:pgMar w:top="1417" w:right="1246" w:bottom="1134" w:left="1246" w:header="850" w:footer="9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8A33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3B53C26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bjXUj0AAAAAUBAAAPAAAAAAAAAAEAIAAAACIAAABkcnMvZG93&#10;bnJldi54bWxQSwECFAAUAAAACACHTuJAhSDY6EECAAB8BAAADgAAAAAAAAABACAAAAAfAQAAZHJz&#10;L2Uyb0RvYy54bWxQSwUGAAAAAAYABgBZAQAA0g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3B53C26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8D30F9"/>
    <w:multiLevelType w:val="multilevel"/>
    <w:tmpl w:val="268D30F9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D979F0F"/>
    <w:multiLevelType w:val="singleLevel"/>
    <w:tmpl w:val="5D979F0F"/>
    <w:lvl w:ilvl="0" w:tentative="0">
      <w:start w:val="1"/>
      <w:numFmt w:val="chineseCounting"/>
      <w:suff w:val="nothing"/>
      <w:lvlText w:val="%1、"/>
      <w:lvlJc w:val="left"/>
      <w:pPr>
        <w:ind w:left="421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3829FA"/>
    <w:rsid w:val="00050362"/>
    <w:rsid w:val="00053651"/>
    <w:rsid w:val="000945E0"/>
    <w:rsid w:val="00103E7B"/>
    <w:rsid w:val="00150DA0"/>
    <w:rsid w:val="00185A58"/>
    <w:rsid w:val="001B19B0"/>
    <w:rsid w:val="0022743E"/>
    <w:rsid w:val="00230A82"/>
    <w:rsid w:val="002350F4"/>
    <w:rsid w:val="002529C7"/>
    <w:rsid w:val="00284306"/>
    <w:rsid w:val="002A2D09"/>
    <w:rsid w:val="003829FA"/>
    <w:rsid w:val="00394D68"/>
    <w:rsid w:val="003A34F6"/>
    <w:rsid w:val="003D1281"/>
    <w:rsid w:val="00423F6C"/>
    <w:rsid w:val="00465898"/>
    <w:rsid w:val="00475304"/>
    <w:rsid w:val="0049017B"/>
    <w:rsid w:val="004C0BAE"/>
    <w:rsid w:val="004C11F3"/>
    <w:rsid w:val="00527404"/>
    <w:rsid w:val="0061788A"/>
    <w:rsid w:val="0065267D"/>
    <w:rsid w:val="006B6D1F"/>
    <w:rsid w:val="00706D5D"/>
    <w:rsid w:val="00722470"/>
    <w:rsid w:val="007B4184"/>
    <w:rsid w:val="00934C0F"/>
    <w:rsid w:val="00953B47"/>
    <w:rsid w:val="00955C2F"/>
    <w:rsid w:val="00B0167F"/>
    <w:rsid w:val="00B141CC"/>
    <w:rsid w:val="00B3672F"/>
    <w:rsid w:val="00B378DD"/>
    <w:rsid w:val="00B55DB3"/>
    <w:rsid w:val="00B62142"/>
    <w:rsid w:val="00B701B7"/>
    <w:rsid w:val="00B976F6"/>
    <w:rsid w:val="00BD271C"/>
    <w:rsid w:val="00BE3829"/>
    <w:rsid w:val="00CA3123"/>
    <w:rsid w:val="00CD737D"/>
    <w:rsid w:val="00D451BD"/>
    <w:rsid w:val="00E15810"/>
    <w:rsid w:val="00E52F76"/>
    <w:rsid w:val="00E773E1"/>
    <w:rsid w:val="00E80720"/>
    <w:rsid w:val="00E82DE1"/>
    <w:rsid w:val="00EC44D6"/>
    <w:rsid w:val="00ED2DFA"/>
    <w:rsid w:val="00EF06E0"/>
    <w:rsid w:val="00F12FFD"/>
    <w:rsid w:val="00FE291F"/>
    <w:rsid w:val="01916C5A"/>
    <w:rsid w:val="01AC45A7"/>
    <w:rsid w:val="01E65CA9"/>
    <w:rsid w:val="0466617C"/>
    <w:rsid w:val="049525BD"/>
    <w:rsid w:val="04A22F2C"/>
    <w:rsid w:val="05DA2E36"/>
    <w:rsid w:val="05EC26B0"/>
    <w:rsid w:val="061B4D44"/>
    <w:rsid w:val="06604E4C"/>
    <w:rsid w:val="066761DB"/>
    <w:rsid w:val="06734B80"/>
    <w:rsid w:val="06874187"/>
    <w:rsid w:val="06A74F4E"/>
    <w:rsid w:val="06B81D95"/>
    <w:rsid w:val="06CC4290"/>
    <w:rsid w:val="06CF3529"/>
    <w:rsid w:val="06F0248B"/>
    <w:rsid w:val="0721638A"/>
    <w:rsid w:val="074327A4"/>
    <w:rsid w:val="07AB012E"/>
    <w:rsid w:val="07D16002"/>
    <w:rsid w:val="07D4164E"/>
    <w:rsid w:val="083B347B"/>
    <w:rsid w:val="084F33CB"/>
    <w:rsid w:val="08964D2B"/>
    <w:rsid w:val="089963F4"/>
    <w:rsid w:val="09306D58"/>
    <w:rsid w:val="098826F0"/>
    <w:rsid w:val="098D1FCD"/>
    <w:rsid w:val="09E85450"/>
    <w:rsid w:val="0A1C13FB"/>
    <w:rsid w:val="0A894972"/>
    <w:rsid w:val="0AC67734"/>
    <w:rsid w:val="0ADF5F23"/>
    <w:rsid w:val="0AFB13A8"/>
    <w:rsid w:val="0B697B02"/>
    <w:rsid w:val="0C1110C3"/>
    <w:rsid w:val="0C915D60"/>
    <w:rsid w:val="0CFC1C88"/>
    <w:rsid w:val="0DCA0182"/>
    <w:rsid w:val="0E627CE7"/>
    <w:rsid w:val="0F276507"/>
    <w:rsid w:val="0FB00182"/>
    <w:rsid w:val="101C3AC9"/>
    <w:rsid w:val="103B0861"/>
    <w:rsid w:val="109C1B7D"/>
    <w:rsid w:val="10FD7403"/>
    <w:rsid w:val="11290C5D"/>
    <w:rsid w:val="11F506C6"/>
    <w:rsid w:val="12137217"/>
    <w:rsid w:val="121A67F7"/>
    <w:rsid w:val="124D2729"/>
    <w:rsid w:val="125F245C"/>
    <w:rsid w:val="12716D9B"/>
    <w:rsid w:val="12B677C2"/>
    <w:rsid w:val="130A17ED"/>
    <w:rsid w:val="131119A8"/>
    <w:rsid w:val="13203999"/>
    <w:rsid w:val="13D84274"/>
    <w:rsid w:val="147B66BC"/>
    <w:rsid w:val="14F53595"/>
    <w:rsid w:val="1582093B"/>
    <w:rsid w:val="16DF591A"/>
    <w:rsid w:val="16E573D4"/>
    <w:rsid w:val="176D1177"/>
    <w:rsid w:val="17F11DA8"/>
    <w:rsid w:val="18390845"/>
    <w:rsid w:val="186407CC"/>
    <w:rsid w:val="18E305FA"/>
    <w:rsid w:val="193373FD"/>
    <w:rsid w:val="19692726"/>
    <w:rsid w:val="1AFC3AB4"/>
    <w:rsid w:val="1B920ECC"/>
    <w:rsid w:val="1BE84C35"/>
    <w:rsid w:val="1C4F3541"/>
    <w:rsid w:val="1CAD0994"/>
    <w:rsid w:val="1CFB4B98"/>
    <w:rsid w:val="1D444728"/>
    <w:rsid w:val="1D884F5D"/>
    <w:rsid w:val="1DD74DE5"/>
    <w:rsid w:val="1E0067ED"/>
    <w:rsid w:val="1E8C54A8"/>
    <w:rsid w:val="1EA96F39"/>
    <w:rsid w:val="1EC879EB"/>
    <w:rsid w:val="1ECE074D"/>
    <w:rsid w:val="1ED815CC"/>
    <w:rsid w:val="1EEE0DF0"/>
    <w:rsid w:val="1F587D1E"/>
    <w:rsid w:val="1F6966C8"/>
    <w:rsid w:val="1FC659C3"/>
    <w:rsid w:val="20671A1A"/>
    <w:rsid w:val="208A4B48"/>
    <w:rsid w:val="20B967E2"/>
    <w:rsid w:val="21091F11"/>
    <w:rsid w:val="216A316F"/>
    <w:rsid w:val="22034BB2"/>
    <w:rsid w:val="22041389"/>
    <w:rsid w:val="22350AE4"/>
    <w:rsid w:val="224F1BA5"/>
    <w:rsid w:val="22C307F5"/>
    <w:rsid w:val="22DF73CD"/>
    <w:rsid w:val="233414D0"/>
    <w:rsid w:val="234E4553"/>
    <w:rsid w:val="235356C5"/>
    <w:rsid w:val="23945594"/>
    <w:rsid w:val="23A93537"/>
    <w:rsid w:val="23D762F6"/>
    <w:rsid w:val="247E49C4"/>
    <w:rsid w:val="252D1DA1"/>
    <w:rsid w:val="25461B81"/>
    <w:rsid w:val="25737F81"/>
    <w:rsid w:val="26123616"/>
    <w:rsid w:val="2680190E"/>
    <w:rsid w:val="26A500BB"/>
    <w:rsid w:val="28012E1E"/>
    <w:rsid w:val="28234CE7"/>
    <w:rsid w:val="28245882"/>
    <w:rsid w:val="28B05368"/>
    <w:rsid w:val="29A46C7B"/>
    <w:rsid w:val="29D15596"/>
    <w:rsid w:val="29D60DFE"/>
    <w:rsid w:val="2A477CE9"/>
    <w:rsid w:val="2C83552E"/>
    <w:rsid w:val="2C8A00B1"/>
    <w:rsid w:val="2DA51262"/>
    <w:rsid w:val="2E33681F"/>
    <w:rsid w:val="2E815065"/>
    <w:rsid w:val="2F034443"/>
    <w:rsid w:val="2FBC4D4D"/>
    <w:rsid w:val="303626F5"/>
    <w:rsid w:val="30395C43"/>
    <w:rsid w:val="303B7C0D"/>
    <w:rsid w:val="306C7DC6"/>
    <w:rsid w:val="308415B4"/>
    <w:rsid w:val="30A24BC5"/>
    <w:rsid w:val="31D837D6"/>
    <w:rsid w:val="32BB6DE3"/>
    <w:rsid w:val="32C4213C"/>
    <w:rsid w:val="32D81743"/>
    <w:rsid w:val="32D85BE7"/>
    <w:rsid w:val="33993C89"/>
    <w:rsid w:val="34321327"/>
    <w:rsid w:val="344F012B"/>
    <w:rsid w:val="34671C20"/>
    <w:rsid w:val="34773182"/>
    <w:rsid w:val="34E73CF4"/>
    <w:rsid w:val="350576C3"/>
    <w:rsid w:val="35BD4200"/>
    <w:rsid w:val="36485257"/>
    <w:rsid w:val="376D0FF4"/>
    <w:rsid w:val="377A726D"/>
    <w:rsid w:val="37E10C18"/>
    <w:rsid w:val="38D330D8"/>
    <w:rsid w:val="390519D8"/>
    <w:rsid w:val="392A6A70"/>
    <w:rsid w:val="39663F4D"/>
    <w:rsid w:val="3995213C"/>
    <w:rsid w:val="39BC591B"/>
    <w:rsid w:val="39D709A6"/>
    <w:rsid w:val="3A971EE4"/>
    <w:rsid w:val="3ADC741E"/>
    <w:rsid w:val="3B2E0CDD"/>
    <w:rsid w:val="3B404329"/>
    <w:rsid w:val="3BE178BA"/>
    <w:rsid w:val="3C180B66"/>
    <w:rsid w:val="3C68259C"/>
    <w:rsid w:val="3CF11D7F"/>
    <w:rsid w:val="3D23796D"/>
    <w:rsid w:val="3DF5776D"/>
    <w:rsid w:val="3E774506"/>
    <w:rsid w:val="3E7C38CA"/>
    <w:rsid w:val="3ED24D5F"/>
    <w:rsid w:val="41006A35"/>
    <w:rsid w:val="41177CBE"/>
    <w:rsid w:val="415D1F4B"/>
    <w:rsid w:val="419B52B3"/>
    <w:rsid w:val="41F1637D"/>
    <w:rsid w:val="43F403A7"/>
    <w:rsid w:val="44062F6B"/>
    <w:rsid w:val="4441183E"/>
    <w:rsid w:val="461F5BAF"/>
    <w:rsid w:val="463F7AD1"/>
    <w:rsid w:val="46DF0E9A"/>
    <w:rsid w:val="47845921"/>
    <w:rsid w:val="47CB141F"/>
    <w:rsid w:val="480F7EF4"/>
    <w:rsid w:val="48220665"/>
    <w:rsid w:val="482C010F"/>
    <w:rsid w:val="48AB2CA2"/>
    <w:rsid w:val="49A91E85"/>
    <w:rsid w:val="4A3459A1"/>
    <w:rsid w:val="4B840262"/>
    <w:rsid w:val="4B90505B"/>
    <w:rsid w:val="4C155020"/>
    <w:rsid w:val="4C5B5709"/>
    <w:rsid w:val="4C6662F6"/>
    <w:rsid w:val="4C7E68FD"/>
    <w:rsid w:val="4C820C46"/>
    <w:rsid w:val="4D3919C1"/>
    <w:rsid w:val="4DA644C0"/>
    <w:rsid w:val="4E720846"/>
    <w:rsid w:val="4E9E163B"/>
    <w:rsid w:val="4F4C72E9"/>
    <w:rsid w:val="4F8627FB"/>
    <w:rsid w:val="504F7091"/>
    <w:rsid w:val="50642410"/>
    <w:rsid w:val="512D6CA6"/>
    <w:rsid w:val="513B5887"/>
    <w:rsid w:val="51493AE0"/>
    <w:rsid w:val="51951D61"/>
    <w:rsid w:val="519F5DF6"/>
    <w:rsid w:val="52AF02BB"/>
    <w:rsid w:val="52D7336D"/>
    <w:rsid w:val="52FB52AE"/>
    <w:rsid w:val="52FE4D9E"/>
    <w:rsid w:val="539A6875"/>
    <w:rsid w:val="53A07C03"/>
    <w:rsid w:val="53FD5056"/>
    <w:rsid w:val="542C1497"/>
    <w:rsid w:val="55211CC3"/>
    <w:rsid w:val="5555648E"/>
    <w:rsid w:val="55782D35"/>
    <w:rsid w:val="55F06C20"/>
    <w:rsid w:val="56513437"/>
    <w:rsid w:val="572D17AE"/>
    <w:rsid w:val="57574A7D"/>
    <w:rsid w:val="58164551"/>
    <w:rsid w:val="594F3C5E"/>
    <w:rsid w:val="5A193B3B"/>
    <w:rsid w:val="5AE35282"/>
    <w:rsid w:val="5BA858A7"/>
    <w:rsid w:val="5BBD65B1"/>
    <w:rsid w:val="5C7E7952"/>
    <w:rsid w:val="5C814CB2"/>
    <w:rsid w:val="5DA30A1C"/>
    <w:rsid w:val="5DBB0B1A"/>
    <w:rsid w:val="5DE31140"/>
    <w:rsid w:val="5E602469"/>
    <w:rsid w:val="5E77028A"/>
    <w:rsid w:val="5E7D669A"/>
    <w:rsid w:val="5ECE3876"/>
    <w:rsid w:val="5EF4373D"/>
    <w:rsid w:val="5F622211"/>
    <w:rsid w:val="60387081"/>
    <w:rsid w:val="603E67DA"/>
    <w:rsid w:val="612C2AD6"/>
    <w:rsid w:val="61C84EF5"/>
    <w:rsid w:val="622540F5"/>
    <w:rsid w:val="639257BA"/>
    <w:rsid w:val="63CE3BC7"/>
    <w:rsid w:val="64E56A65"/>
    <w:rsid w:val="655F16CC"/>
    <w:rsid w:val="659A641A"/>
    <w:rsid w:val="66C73564"/>
    <w:rsid w:val="66C840F2"/>
    <w:rsid w:val="677D322F"/>
    <w:rsid w:val="678A786E"/>
    <w:rsid w:val="67A6321C"/>
    <w:rsid w:val="68070598"/>
    <w:rsid w:val="6830673C"/>
    <w:rsid w:val="6833299C"/>
    <w:rsid w:val="68A5389A"/>
    <w:rsid w:val="68C36416"/>
    <w:rsid w:val="6959083E"/>
    <w:rsid w:val="69E04BB7"/>
    <w:rsid w:val="6A0C56F6"/>
    <w:rsid w:val="6A0E1913"/>
    <w:rsid w:val="6AAF1314"/>
    <w:rsid w:val="6B030D4C"/>
    <w:rsid w:val="6B1747F7"/>
    <w:rsid w:val="6B2F1B41"/>
    <w:rsid w:val="6BAD2A66"/>
    <w:rsid w:val="6C303DC2"/>
    <w:rsid w:val="6C621AA2"/>
    <w:rsid w:val="6CAB36D8"/>
    <w:rsid w:val="6CB70040"/>
    <w:rsid w:val="6D1C7DDB"/>
    <w:rsid w:val="6D925061"/>
    <w:rsid w:val="6DAA3701"/>
    <w:rsid w:val="6EFB3918"/>
    <w:rsid w:val="7004359C"/>
    <w:rsid w:val="70952EC6"/>
    <w:rsid w:val="709C13CF"/>
    <w:rsid w:val="70B605B4"/>
    <w:rsid w:val="70F87C62"/>
    <w:rsid w:val="710F0089"/>
    <w:rsid w:val="71502811"/>
    <w:rsid w:val="7317621E"/>
    <w:rsid w:val="731955B0"/>
    <w:rsid w:val="734939BC"/>
    <w:rsid w:val="74587064"/>
    <w:rsid w:val="74A54C22"/>
    <w:rsid w:val="74F6722B"/>
    <w:rsid w:val="752217B8"/>
    <w:rsid w:val="757C1E26"/>
    <w:rsid w:val="772C065B"/>
    <w:rsid w:val="7730111A"/>
    <w:rsid w:val="775D6EE5"/>
    <w:rsid w:val="77EE068E"/>
    <w:rsid w:val="77F9150C"/>
    <w:rsid w:val="791D1B70"/>
    <w:rsid w:val="7927654D"/>
    <w:rsid w:val="79982FA7"/>
    <w:rsid w:val="7A170370"/>
    <w:rsid w:val="7A4D3D91"/>
    <w:rsid w:val="7AC810FF"/>
    <w:rsid w:val="7AEF309B"/>
    <w:rsid w:val="7B152B01"/>
    <w:rsid w:val="7B607AF4"/>
    <w:rsid w:val="7BD306CB"/>
    <w:rsid w:val="7BDB9919"/>
    <w:rsid w:val="7BFFE9C9"/>
    <w:rsid w:val="7C144CFD"/>
    <w:rsid w:val="7C5F0157"/>
    <w:rsid w:val="7C756885"/>
    <w:rsid w:val="7C8C34F8"/>
    <w:rsid w:val="7CEF2EDE"/>
    <w:rsid w:val="7E096221"/>
    <w:rsid w:val="7E132BFC"/>
    <w:rsid w:val="7EC32874"/>
    <w:rsid w:val="7F992A18"/>
    <w:rsid w:val="DFBA6E3B"/>
    <w:rsid w:val="FFE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pageBreakBefore/>
      <w:spacing w:before="120" w:after="120" w:line="460" w:lineRule="exact"/>
      <w:ind w:firstLine="567"/>
      <w:jc w:val="center"/>
      <w:outlineLvl w:val="0"/>
    </w:pPr>
    <w:rPr>
      <w:rFonts w:ascii="黑体" w:eastAsia="黑体"/>
      <w:kern w:val="44"/>
      <w:sz w:val="24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Ansi="Courier New"/>
      <w:szCs w:val="20"/>
    </w:r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Calibri" w:hAnsi="Calibri" w:eastAsia="Calibri" w:cs="Calibri"/>
      <w:sz w:val="24"/>
      <w:szCs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宋体" w:hAnsi="宋体"/>
      <w:b/>
      <w:kern w:val="0"/>
      <w:sz w:val="36"/>
      <w:szCs w:val="36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7">
    <w:name w:val="默认"/>
    <w:qFormat/>
    <w:uiPriority w:val="0"/>
    <w:rPr>
      <w:rFonts w:hint="eastAsia" w:ascii="Arial Unicode MS" w:hAnsi="Arial Unicode MS" w:eastAsia="Helvetica" w:cs="Arial Unicode MS"/>
      <w:color w:val="000000"/>
      <w:sz w:val="22"/>
      <w:szCs w:val="22"/>
      <w:lang w:val="zh-TW" w:eastAsia="zh-TW" w:bidi="ar-SA"/>
    </w:rPr>
  </w:style>
  <w:style w:type="character" w:customStyle="1" w:styleId="18">
    <w:name w:val="页眉 字符"/>
    <w:basedOn w:val="11"/>
    <w:link w:val="6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19">
    <w:name w:val="页脚 字符"/>
    <w:basedOn w:val="11"/>
    <w:link w:val="5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0">
    <w:name w:val="font4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批注框文本 字符"/>
    <w:basedOn w:val="11"/>
    <w:link w:val="4"/>
    <w:semiHidden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3">
    <w:name w:val="font10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98F55B-23EF-408B-86B1-C6386EE2A8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4913</Words>
  <Characters>5108</Characters>
  <Lines>16</Lines>
  <Paragraphs>4</Paragraphs>
  <TotalTime>35</TotalTime>
  <ScaleCrop>false</ScaleCrop>
  <LinksUpToDate>false</LinksUpToDate>
  <CharactersWithSpaces>5201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2024-12-06T09:21:00Z</dcterms:created>
  <dc:creator>wangjianjun</dc:creator>
  <cp:lastModifiedBy>Throb</cp:lastModifiedBy>
  <cp:lastPrinted>2025-03-04T07:02:03Z</cp:lastPrinted>
  <dcterms:modified xsi:type="dcterms:W3CDTF">2025-03-04T07:02:09Z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159C5125E64C4BF38897D585FF0B0E86_13</vt:lpwstr>
  </property>
  <property fmtid="{D5CDD505-2E9C-101B-9397-08002B2CF9AE}" pid="4" name="KSOTemplateDocerSaveRecord">
    <vt:lpwstr>eyJoZGlkIjoiMzEwNTM5NzYwMDRjMzkwZTVkZjY2ODkwMGIxNGU0OTUiLCJ1c2VySWQiOiI3MzM1NDAzNDUifQ==</vt:lpwstr>
  </property>
</Properties>
</file>